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EFB" w:rsidRDefault="00602EFB" w:rsidP="00067028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</w:p>
    <w:p w:rsidR="00875E11" w:rsidRPr="00963501" w:rsidRDefault="000B0744" w:rsidP="00067028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422300">
        <w:rPr>
          <w:rFonts w:ascii="Tahoma" w:hAnsi="Tahoma" w:cs="Tahoma"/>
          <w:b/>
          <w:sz w:val="24"/>
          <w:szCs w:val="24"/>
        </w:rPr>
        <w:t xml:space="preserve"> </w:t>
      </w:r>
      <w:r w:rsidR="00B55024" w:rsidRPr="00963501">
        <w:rPr>
          <w:rFonts w:ascii="Tahoma" w:hAnsi="Tahoma" w:cs="Tahoma"/>
          <w:b/>
          <w:sz w:val="24"/>
          <w:szCs w:val="24"/>
        </w:rPr>
        <w:t>DO SECRETÁRIO-GERAL Nº</w:t>
      </w:r>
      <w:r w:rsidR="00C30595">
        <w:rPr>
          <w:rFonts w:ascii="Tahoma" w:hAnsi="Tahoma" w:cs="Tahoma"/>
          <w:b/>
          <w:sz w:val="24"/>
          <w:szCs w:val="24"/>
        </w:rPr>
        <w:t xml:space="preserve"> </w:t>
      </w:r>
      <w:r w:rsidR="00FF2C8C">
        <w:rPr>
          <w:rFonts w:ascii="Tahoma" w:hAnsi="Tahoma" w:cs="Tahoma"/>
          <w:b/>
          <w:sz w:val="24"/>
          <w:szCs w:val="24"/>
        </w:rPr>
        <w:t>76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067028">
        <w:rPr>
          <w:rFonts w:ascii="Tahoma" w:hAnsi="Tahoma" w:cs="Tahoma"/>
          <w:b/>
          <w:sz w:val="24"/>
          <w:szCs w:val="24"/>
        </w:rPr>
        <w:t xml:space="preserve"> </w:t>
      </w:r>
      <w:r w:rsidR="00FF2C8C">
        <w:rPr>
          <w:rFonts w:ascii="Tahoma" w:hAnsi="Tahoma" w:cs="Tahoma"/>
          <w:b/>
          <w:sz w:val="24"/>
          <w:szCs w:val="24"/>
        </w:rPr>
        <w:t>13</w:t>
      </w:r>
      <w:r w:rsidR="00422300">
        <w:rPr>
          <w:rFonts w:ascii="Tahoma" w:hAnsi="Tahoma" w:cs="Tahoma"/>
          <w:b/>
          <w:sz w:val="24"/>
          <w:szCs w:val="24"/>
        </w:rPr>
        <w:t xml:space="preserve"> </w:t>
      </w:r>
      <w:r w:rsidR="00B55024" w:rsidRPr="00963501">
        <w:rPr>
          <w:rFonts w:ascii="Tahoma" w:hAnsi="Tahoma" w:cs="Tahoma"/>
          <w:b/>
          <w:sz w:val="24"/>
          <w:szCs w:val="24"/>
        </w:rPr>
        <w:t>DE</w:t>
      </w:r>
      <w:r w:rsidR="00422300">
        <w:rPr>
          <w:rFonts w:ascii="Tahoma" w:hAnsi="Tahoma" w:cs="Tahoma"/>
          <w:b/>
          <w:sz w:val="24"/>
          <w:szCs w:val="24"/>
        </w:rPr>
        <w:t xml:space="preserve"> </w:t>
      </w:r>
      <w:r w:rsidR="009E267B">
        <w:rPr>
          <w:rFonts w:ascii="Tahoma" w:hAnsi="Tahoma" w:cs="Tahoma"/>
          <w:b/>
          <w:sz w:val="24"/>
          <w:szCs w:val="24"/>
        </w:rPr>
        <w:t>NOVEM</w:t>
      </w:r>
      <w:r w:rsidR="006D5035">
        <w:rPr>
          <w:rFonts w:ascii="Tahoma" w:hAnsi="Tahoma" w:cs="Tahoma"/>
          <w:b/>
          <w:sz w:val="24"/>
          <w:szCs w:val="24"/>
        </w:rPr>
        <w:t>BRO</w:t>
      </w:r>
      <w:r w:rsidR="00672AB4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9E267B" w:rsidRPr="009E267B" w:rsidRDefault="000B0744" w:rsidP="009E267B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9E267B" w:rsidRPr="009E267B">
        <w:rPr>
          <w:rFonts w:ascii="Tahoma" w:hAnsi="Tahoma" w:cs="Tahoma"/>
          <w:sz w:val="24"/>
          <w:szCs w:val="24"/>
        </w:rPr>
        <w:t>A</w:t>
      </w:r>
      <w:r w:rsidR="009E267B">
        <w:rPr>
          <w:rFonts w:ascii="Tahoma" w:hAnsi="Tahoma" w:cs="Tahoma"/>
          <w:sz w:val="24"/>
          <w:szCs w:val="24"/>
        </w:rPr>
        <w:t>provar o Relatório apresentado pelo Grupo de Trabalho constituído pela Portaria do Secretário-Geral nº 43/2014, que realizou o Estudo do Custo Processual das Aquisições da CLDF, em anexo.</w:t>
      </w:r>
    </w:p>
    <w:p w:rsidR="009E267B" w:rsidRDefault="000B0744" w:rsidP="009E267B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1F24E4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9E267B">
        <w:rPr>
          <w:rFonts w:ascii="Tahoma" w:hAnsi="Tahoma" w:cs="Tahoma"/>
          <w:sz w:val="24"/>
          <w:szCs w:val="24"/>
        </w:rPr>
        <w:t>Determinar que o custo médio dos processos de aquisição na CLDF se</w:t>
      </w:r>
      <w:r w:rsidR="003B1324">
        <w:rPr>
          <w:rFonts w:ascii="Tahoma" w:hAnsi="Tahoma" w:cs="Tahoma"/>
          <w:sz w:val="24"/>
          <w:szCs w:val="24"/>
        </w:rPr>
        <w:t>jam</w:t>
      </w:r>
      <w:r w:rsidR="009E267B">
        <w:rPr>
          <w:rFonts w:ascii="Tahoma" w:hAnsi="Tahoma" w:cs="Tahoma"/>
          <w:sz w:val="24"/>
          <w:szCs w:val="24"/>
        </w:rPr>
        <w:t xml:space="preserve"> calculados na forma do “</w:t>
      </w:r>
      <w:r w:rsidR="003B1324">
        <w:rPr>
          <w:rFonts w:ascii="Tahoma" w:hAnsi="Tahoma" w:cs="Tahoma"/>
          <w:sz w:val="24"/>
          <w:szCs w:val="24"/>
        </w:rPr>
        <w:t xml:space="preserve">Quadro </w:t>
      </w:r>
      <w:proofErr w:type="gramStart"/>
      <w:r w:rsidR="003B1324">
        <w:rPr>
          <w:rFonts w:ascii="Tahoma" w:hAnsi="Tahoma" w:cs="Tahoma"/>
          <w:sz w:val="24"/>
          <w:szCs w:val="24"/>
        </w:rPr>
        <w:t>3</w:t>
      </w:r>
      <w:proofErr w:type="gramEnd"/>
      <w:r w:rsidR="003B1324">
        <w:rPr>
          <w:rFonts w:ascii="Tahoma" w:hAnsi="Tahoma" w:cs="Tahoma"/>
          <w:sz w:val="24"/>
          <w:szCs w:val="24"/>
        </w:rPr>
        <w:t xml:space="preserve">” do Estudo apresentado, conforme Anexo </w:t>
      </w:r>
      <w:r w:rsidR="007416A3">
        <w:rPr>
          <w:rFonts w:ascii="Tahoma" w:hAnsi="Tahoma" w:cs="Tahoma"/>
          <w:sz w:val="24"/>
          <w:szCs w:val="24"/>
        </w:rPr>
        <w:t>I</w:t>
      </w:r>
      <w:r w:rsidR="003B1324">
        <w:rPr>
          <w:rFonts w:ascii="Tahoma" w:hAnsi="Tahoma" w:cs="Tahoma"/>
          <w:sz w:val="24"/>
          <w:szCs w:val="24"/>
        </w:rPr>
        <w:t xml:space="preserve">. </w:t>
      </w:r>
    </w:p>
    <w:p w:rsidR="004116E7" w:rsidRPr="00963501" w:rsidRDefault="003B1324" w:rsidP="009E267B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3B1324">
        <w:rPr>
          <w:rFonts w:ascii="Tahoma" w:hAnsi="Tahoma" w:cs="Tahoma"/>
          <w:b/>
          <w:sz w:val="24"/>
          <w:szCs w:val="24"/>
        </w:rPr>
        <w:t>Art. 3º</w:t>
      </w:r>
      <w:r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4116E7" w:rsidRDefault="000B0744" w:rsidP="00154F26">
      <w:pPr>
        <w:spacing w:before="120"/>
        <w:ind w:left="567" w:firstLine="284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3B1324">
        <w:rPr>
          <w:rFonts w:ascii="Tahoma" w:hAnsi="Tahoma" w:cs="Tahoma"/>
          <w:b/>
          <w:sz w:val="24"/>
          <w:szCs w:val="24"/>
        </w:rPr>
        <w:t>4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contrário.</w:t>
      </w:r>
    </w:p>
    <w:p w:rsidR="00602EFB" w:rsidRDefault="00602EFB" w:rsidP="00154F26">
      <w:pPr>
        <w:spacing w:before="120"/>
        <w:ind w:left="567" w:firstLine="284"/>
        <w:jc w:val="both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Default="00875E11" w:rsidP="00875E11">
      <w:pPr>
        <w:jc w:val="center"/>
        <w:rPr>
          <w:rFonts w:ascii="Tahoma" w:hAnsi="Tahoma" w:cs="Tahoma"/>
          <w:i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FE3589" w:rsidRDefault="00FE3589" w:rsidP="00875E11">
      <w:pPr>
        <w:jc w:val="center"/>
        <w:rPr>
          <w:rFonts w:ascii="Tahoma" w:hAnsi="Tahoma" w:cs="Tahoma"/>
          <w:iCs/>
          <w:sz w:val="24"/>
          <w:szCs w:val="24"/>
        </w:rPr>
      </w:pPr>
    </w:p>
    <w:p w:rsidR="00C60289" w:rsidRDefault="00C60289" w:rsidP="00875E11">
      <w:pPr>
        <w:jc w:val="center"/>
        <w:rPr>
          <w:rFonts w:ascii="Tahoma" w:hAnsi="Tahoma" w:cs="Tahoma"/>
          <w:iCs/>
          <w:sz w:val="24"/>
          <w:szCs w:val="24"/>
        </w:rPr>
      </w:pPr>
    </w:p>
    <w:p w:rsidR="00C60289" w:rsidRDefault="00C60289" w:rsidP="00875E11">
      <w:pPr>
        <w:jc w:val="center"/>
        <w:rPr>
          <w:rFonts w:ascii="Tahoma" w:hAnsi="Tahoma" w:cs="Tahoma"/>
          <w:iCs/>
          <w:sz w:val="24"/>
          <w:szCs w:val="24"/>
        </w:rPr>
      </w:pPr>
    </w:p>
    <w:p w:rsidR="00FE3589" w:rsidRDefault="00FE3589" w:rsidP="00875E11">
      <w:pPr>
        <w:jc w:val="center"/>
        <w:rPr>
          <w:rFonts w:ascii="Tahoma" w:hAnsi="Tahoma" w:cs="Tahoma"/>
          <w:iCs/>
          <w:sz w:val="24"/>
          <w:szCs w:val="24"/>
        </w:rPr>
      </w:pPr>
    </w:p>
    <w:p w:rsidR="00FE3589" w:rsidRPr="00FE3589" w:rsidRDefault="00FE3589" w:rsidP="00875E11">
      <w:pPr>
        <w:jc w:val="center"/>
        <w:rPr>
          <w:rFonts w:ascii="Tahoma" w:hAnsi="Tahoma" w:cs="Tahoma"/>
          <w:b/>
          <w:iCs/>
          <w:sz w:val="24"/>
          <w:szCs w:val="24"/>
        </w:rPr>
      </w:pPr>
      <w:r w:rsidRPr="00FE3589">
        <w:rPr>
          <w:rFonts w:ascii="Tahoma" w:hAnsi="Tahoma" w:cs="Tahoma"/>
          <w:b/>
          <w:iCs/>
          <w:sz w:val="24"/>
          <w:szCs w:val="24"/>
        </w:rPr>
        <w:t>ANEXO I</w:t>
      </w:r>
    </w:p>
    <w:p w:rsidR="00FE3589" w:rsidRDefault="00FE3589" w:rsidP="00FE3589">
      <w:pPr>
        <w:rPr>
          <w:rFonts w:ascii="Tahoma" w:hAnsi="Tahoma" w:cs="Tahoma"/>
          <w:iCs/>
          <w:sz w:val="24"/>
          <w:szCs w:val="24"/>
        </w:rPr>
      </w:pPr>
    </w:p>
    <w:tbl>
      <w:tblPr>
        <w:tblW w:w="10005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465"/>
        <w:gridCol w:w="1265"/>
        <w:gridCol w:w="1134"/>
        <w:gridCol w:w="1276"/>
        <w:gridCol w:w="1134"/>
        <w:gridCol w:w="1275"/>
        <w:gridCol w:w="1276"/>
        <w:gridCol w:w="1180"/>
      </w:tblGrid>
      <w:tr w:rsidR="00C60289" w:rsidRPr="00FE3589" w:rsidTr="00C60289">
        <w:trPr>
          <w:trHeight w:val="300"/>
          <w:jc w:val="center"/>
        </w:trPr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E3589">
              <w:rPr>
                <w:rFonts w:ascii="Tahoma" w:hAnsi="Tahoma" w:cs="Tahoma"/>
                <w:b/>
                <w:bCs/>
                <w:color w:val="000000"/>
              </w:rPr>
              <w:t>CUSTO MÉDIO POR PROCESSO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rPr>
                <w:rFonts w:ascii="Tahoma" w:hAnsi="Tahoma" w:cs="Tahoma"/>
                <w:color w:val="000000"/>
              </w:rPr>
            </w:pPr>
          </w:p>
        </w:tc>
      </w:tr>
      <w:tr w:rsidR="00C60289" w:rsidRPr="00FE3589" w:rsidTr="00C60289">
        <w:trPr>
          <w:trHeight w:val="300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rPr>
                <w:rFonts w:ascii="Tahoma" w:hAnsi="Tahoma" w:cs="Tahoma"/>
                <w:color w:val="000000"/>
              </w:rPr>
            </w:pPr>
          </w:p>
        </w:tc>
      </w:tr>
      <w:tr w:rsidR="00C60289" w:rsidRPr="00FE3589" w:rsidTr="00C60289">
        <w:trPr>
          <w:trHeight w:val="300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rPr>
                <w:rFonts w:ascii="Tahoma" w:hAnsi="Tahoma" w:cs="Tahoma"/>
                <w:color w:val="000000"/>
              </w:rPr>
            </w:pPr>
            <w:r w:rsidRPr="00FE3589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proofErr w:type="spellStart"/>
            <w:r w:rsidRPr="00FE3589">
              <w:rPr>
                <w:rFonts w:ascii="Tahoma" w:hAnsi="Tahoma" w:cs="Tahoma"/>
                <w:b/>
                <w:bCs/>
                <w:color w:val="000000"/>
              </w:rPr>
              <w:t>Lic</w:t>
            </w:r>
            <w:proofErr w:type="spellEnd"/>
            <w:r w:rsidRPr="00FE3589">
              <w:rPr>
                <w:rFonts w:ascii="Tahoma" w:hAnsi="Tahoma" w:cs="Tahoma"/>
                <w:b/>
                <w:bCs/>
                <w:color w:val="000000"/>
              </w:rPr>
              <w:t xml:space="preserve"> - C/C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proofErr w:type="spellStart"/>
            <w:r w:rsidRPr="00FE3589">
              <w:rPr>
                <w:rFonts w:ascii="Tahoma" w:hAnsi="Tahoma" w:cs="Tahoma"/>
                <w:b/>
                <w:bCs/>
                <w:color w:val="000000"/>
              </w:rPr>
              <w:t>Lic</w:t>
            </w:r>
            <w:proofErr w:type="spellEnd"/>
            <w:r w:rsidRPr="00FE3589">
              <w:rPr>
                <w:rFonts w:ascii="Tahoma" w:hAnsi="Tahoma" w:cs="Tahoma"/>
                <w:b/>
                <w:bCs/>
                <w:color w:val="000000"/>
              </w:rPr>
              <w:t xml:space="preserve"> - S/C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E3589">
              <w:rPr>
                <w:rFonts w:ascii="Tahoma" w:hAnsi="Tahoma" w:cs="Tahoma"/>
                <w:b/>
                <w:bCs/>
                <w:color w:val="000000"/>
              </w:rPr>
              <w:t>I/D - C/C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E3589">
              <w:rPr>
                <w:rFonts w:ascii="Tahoma" w:hAnsi="Tahoma" w:cs="Tahoma"/>
                <w:b/>
                <w:bCs/>
                <w:color w:val="000000"/>
              </w:rPr>
              <w:t>I/D - S/C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proofErr w:type="spellStart"/>
            <w:r w:rsidRPr="00FE3589">
              <w:rPr>
                <w:rFonts w:ascii="Tahoma" w:hAnsi="Tahoma" w:cs="Tahoma"/>
                <w:b/>
                <w:bCs/>
                <w:color w:val="000000"/>
              </w:rPr>
              <w:t>Disp</w:t>
            </w:r>
            <w:proofErr w:type="spellEnd"/>
            <w:r w:rsidRPr="00FE3589">
              <w:rPr>
                <w:rFonts w:ascii="Tahoma" w:hAnsi="Tahoma" w:cs="Tahoma"/>
                <w:b/>
                <w:bCs/>
                <w:color w:val="000000"/>
              </w:rPr>
              <w:t xml:space="preserve"> - S/C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E3589">
              <w:rPr>
                <w:rFonts w:ascii="Tahoma" w:hAnsi="Tahoma" w:cs="Tahoma"/>
                <w:b/>
                <w:bCs/>
                <w:color w:val="000000"/>
              </w:rPr>
              <w:t>ELEGIS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E3589">
              <w:rPr>
                <w:rFonts w:ascii="Tahoma" w:hAnsi="Tahoma" w:cs="Tahoma"/>
                <w:b/>
                <w:bCs/>
                <w:color w:val="000000"/>
              </w:rPr>
              <w:t>Total</w:t>
            </w:r>
          </w:p>
        </w:tc>
      </w:tr>
      <w:tr w:rsidR="00C60289" w:rsidRPr="00FE3589" w:rsidTr="00C60289">
        <w:trPr>
          <w:trHeight w:val="300"/>
          <w:jc w:val="center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E3589">
              <w:rPr>
                <w:rFonts w:ascii="Tahoma" w:hAnsi="Tahoma" w:cs="Tahoma"/>
                <w:b/>
                <w:bCs/>
                <w:color w:val="000000"/>
              </w:rPr>
              <w:t>Prestação de Serviço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color w:val="000000"/>
              </w:rPr>
            </w:pPr>
            <w:r w:rsidRPr="00FE3589">
              <w:rPr>
                <w:rFonts w:ascii="Tahoma" w:hAnsi="Tahoma" w:cs="Tahoma"/>
                <w:color w:val="000000"/>
              </w:rPr>
              <w:t>R$ 30.903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color w:val="000000"/>
              </w:rPr>
            </w:pPr>
            <w:r w:rsidRPr="00FE3589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color w:val="000000"/>
              </w:rPr>
            </w:pPr>
            <w:r w:rsidRPr="00FE3589">
              <w:rPr>
                <w:rFonts w:ascii="Tahoma" w:hAnsi="Tahoma" w:cs="Tahoma"/>
                <w:color w:val="000000"/>
              </w:rPr>
              <w:t>R$ 14.764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color w:val="000000"/>
              </w:rPr>
            </w:pPr>
            <w:r w:rsidRPr="00FE3589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color w:val="000000"/>
              </w:rPr>
            </w:pPr>
            <w:r w:rsidRPr="00FE3589">
              <w:rPr>
                <w:rFonts w:ascii="Tahoma" w:hAnsi="Tahoma" w:cs="Tahoma"/>
                <w:color w:val="000000"/>
              </w:rPr>
              <w:t>R$ 10.756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color w:val="000000"/>
              </w:rPr>
            </w:pPr>
            <w:r w:rsidRPr="00FE3589">
              <w:rPr>
                <w:rFonts w:ascii="Tahoma" w:hAnsi="Tahoma" w:cs="Tahoma"/>
                <w:color w:val="000000"/>
              </w:rPr>
              <w:t>R$ 14.163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color w:val="000000"/>
              </w:rPr>
            </w:pPr>
            <w:r w:rsidRPr="00FE3589">
              <w:rPr>
                <w:rFonts w:ascii="Tahoma" w:hAnsi="Tahoma" w:cs="Tahoma"/>
                <w:color w:val="000000"/>
              </w:rPr>
              <w:t>R$ 19.218</w:t>
            </w:r>
          </w:p>
        </w:tc>
      </w:tr>
      <w:tr w:rsidR="00C60289" w:rsidRPr="00FE3589" w:rsidTr="00C60289">
        <w:trPr>
          <w:trHeight w:val="300"/>
          <w:jc w:val="center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E3589">
              <w:rPr>
                <w:rFonts w:ascii="Tahoma" w:hAnsi="Tahoma" w:cs="Tahoma"/>
                <w:b/>
                <w:bCs/>
                <w:color w:val="000000"/>
              </w:rPr>
              <w:t>Material de Consumo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color w:val="000000"/>
              </w:rPr>
            </w:pPr>
            <w:r w:rsidRPr="00FE3589">
              <w:rPr>
                <w:rFonts w:ascii="Tahoma" w:hAnsi="Tahoma" w:cs="Tahoma"/>
                <w:color w:val="000000"/>
              </w:rPr>
              <w:t>R$ 37.651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color w:val="000000"/>
              </w:rPr>
            </w:pPr>
            <w:r w:rsidRPr="00FE3589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color w:val="000000"/>
              </w:rPr>
            </w:pPr>
            <w:r w:rsidRPr="00FE3589">
              <w:rPr>
                <w:rFonts w:ascii="Tahoma" w:hAnsi="Tahoma" w:cs="Tahoma"/>
                <w:color w:val="000000"/>
              </w:rPr>
              <w:t>R$ 21.512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color w:val="000000"/>
              </w:rPr>
            </w:pPr>
            <w:r w:rsidRPr="00FE3589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color w:val="000000"/>
              </w:rPr>
            </w:pPr>
            <w:r w:rsidRPr="00FE3589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color w:val="000000"/>
              </w:rPr>
            </w:pPr>
            <w:r w:rsidRPr="00FE3589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color w:val="000000"/>
              </w:rPr>
            </w:pPr>
            <w:r w:rsidRPr="00FE3589">
              <w:rPr>
                <w:rFonts w:ascii="Tahoma" w:hAnsi="Tahoma" w:cs="Tahoma"/>
                <w:color w:val="000000"/>
              </w:rPr>
              <w:t>R$ 33.905</w:t>
            </w:r>
          </w:p>
        </w:tc>
      </w:tr>
      <w:tr w:rsidR="00C60289" w:rsidRPr="00FE3589" w:rsidTr="00C60289">
        <w:trPr>
          <w:trHeight w:val="300"/>
          <w:jc w:val="center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E3589">
              <w:rPr>
                <w:rFonts w:ascii="Tahoma" w:hAnsi="Tahoma" w:cs="Tahoma"/>
                <w:b/>
                <w:bCs/>
                <w:color w:val="000000"/>
              </w:rPr>
              <w:t>Material Permanente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color w:val="000000"/>
              </w:rPr>
            </w:pPr>
            <w:r w:rsidRPr="00FE3589">
              <w:rPr>
                <w:rFonts w:ascii="Tahoma" w:hAnsi="Tahoma" w:cs="Tahoma"/>
                <w:color w:val="000000"/>
              </w:rPr>
              <w:t>R$ 43.157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color w:val="000000"/>
              </w:rPr>
            </w:pPr>
            <w:r w:rsidRPr="00FE3589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color w:val="000000"/>
              </w:rPr>
            </w:pPr>
            <w:r w:rsidRPr="00FE3589">
              <w:rPr>
                <w:rFonts w:ascii="Tahoma" w:hAnsi="Tahoma" w:cs="Tahoma"/>
                <w:color w:val="000000"/>
              </w:rPr>
              <w:t>R$ 25.553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color w:val="000000"/>
              </w:rPr>
            </w:pPr>
            <w:r w:rsidRPr="00FE3589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color w:val="000000"/>
              </w:rPr>
            </w:pPr>
            <w:r w:rsidRPr="00FE3589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color w:val="000000"/>
              </w:rPr>
            </w:pPr>
            <w:r w:rsidRPr="00FE3589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color w:val="000000"/>
              </w:rPr>
            </w:pPr>
            <w:r w:rsidRPr="00FE3589">
              <w:rPr>
                <w:rFonts w:ascii="Tahoma" w:hAnsi="Tahoma" w:cs="Tahoma"/>
                <w:color w:val="000000"/>
              </w:rPr>
              <w:t>R$ 38.932</w:t>
            </w:r>
          </w:p>
        </w:tc>
      </w:tr>
      <w:tr w:rsidR="00C60289" w:rsidRPr="00FE3589" w:rsidTr="00C60289">
        <w:trPr>
          <w:trHeight w:val="300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E3589">
              <w:rPr>
                <w:rFonts w:ascii="Tahoma" w:hAnsi="Tahoma" w:cs="Tahoma"/>
                <w:b/>
                <w:bCs/>
                <w:color w:val="000000"/>
              </w:rPr>
              <w:t>R$ 35.531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E3589">
              <w:rPr>
                <w:rFonts w:ascii="Tahoma" w:hAnsi="Tahoma" w:cs="Tahoma"/>
                <w:b/>
                <w:bCs/>
                <w:color w:val="000000"/>
              </w:rPr>
              <w:t>R$ 0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E3589">
              <w:rPr>
                <w:rFonts w:ascii="Tahoma" w:hAnsi="Tahoma" w:cs="Tahoma"/>
                <w:b/>
                <w:bCs/>
                <w:color w:val="000000"/>
              </w:rPr>
              <w:t>R$ 18.776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E3589">
              <w:rPr>
                <w:rFonts w:ascii="Tahoma" w:hAnsi="Tahoma" w:cs="Tahoma"/>
                <w:b/>
                <w:bCs/>
                <w:color w:val="000000"/>
              </w:rPr>
              <w:t>R$ 0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E3589">
              <w:rPr>
                <w:rFonts w:ascii="Tahoma" w:hAnsi="Tahoma" w:cs="Tahoma"/>
                <w:b/>
                <w:bCs/>
                <w:color w:val="000000"/>
              </w:rPr>
              <w:t>R$ 10.756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E3589">
              <w:rPr>
                <w:rFonts w:ascii="Tahoma" w:hAnsi="Tahoma" w:cs="Tahoma"/>
                <w:b/>
                <w:bCs/>
                <w:color w:val="000000"/>
              </w:rPr>
              <w:t>R$ 14.163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E3589">
              <w:rPr>
                <w:rFonts w:ascii="Tahoma" w:hAnsi="Tahoma" w:cs="Tahoma"/>
                <w:b/>
                <w:bCs/>
                <w:color w:val="000000"/>
              </w:rPr>
              <w:t>R$ 24.699</w:t>
            </w:r>
          </w:p>
        </w:tc>
      </w:tr>
      <w:tr w:rsidR="00FE3589" w:rsidRPr="00FE3589" w:rsidTr="00C60289">
        <w:trPr>
          <w:trHeight w:val="300"/>
          <w:jc w:val="center"/>
        </w:trPr>
        <w:tc>
          <w:tcPr>
            <w:tcW w:w="10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589" w:rsidRPr="00FE3589" w:rsidRDefault="00FE3589" w:rsidP="00FE3589">
            <w:pPr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 w:rsidRPr="00FE3589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Siglas: I/D: Inexigibilidade e Dispensa;</w:t>
            </w:r>
            <w:r w:rsidR="00C60289" w:rsidRPr="00FE3589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FE3589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C/C: Com Contrato;</w:t>
            </w:r>
            <w:r w:rsidR="00C60289" w:rsidRPr="00FE3589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FE3589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S/C: Sem Contrato;</w:t>
            </w:r>
            <w:r w:rsidR="00C60289" w:rsidRPr="00FE3589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3589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Lic</w:t>
            </w:r>
            <w:proofErr w:type="spellEnd"/>
            <w:r w:rsidRPr="00FE3589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: Licitação;</w:t>
            </w:r>
            <w:r w:rsidR="00C60289" w:rsidRPr="00FE3589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3589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Disp</w:t>
            </w:r>
            <w:proofErr w:type="spellEnd"/>
            <w:r w:rsidRPr="00FE3589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: Dispensa.</w:t>
            </w:r>
          </w:p>
        </w:tc>
      </w:tr>
    </w:tbl>
    <w:p w:rsidR="00CB4BAF" w:rsidRDefault="00CB4BAF" w:rsidP="00C60289">
      <w:pPr>
        <w:rPr>
          <w:rFonts w:ascii="Tahoma" w:hAnsi="Tahoma" w:cs="Tahoma"/>
          <w:iCs/>
          <w:color w:val="FF0000"/>
        </w:rPr>
      </w:pPr>
      <w:bookmarkStart w:id="0" w:name="_GoBack"/>
      <w:bookmarkEnd w:id="0"/>
    </w:p>
    <w:p w:rsidR="00CB4BAF" w:rsidRDefault="00CB4BAF" w:rsidP="00C60289">
      <w:pPr>
        <w:rPr>
          <w:rFonts w:ascii="Tahoma" w:hAnsi="Tahoma" w:cs="Tahoma"/>
          <w:iCs/>
          <w:color w:val="FF0000"/>
        </w:rPr>
      </w:pPr>
    </w:p>
    <w:p w:rsidR="00FE3589" w:rsidRPr="00CB4BAF" w:rsidRDefault="00CB4BAF" w:rsidP="00C60289">
      <w:pPr>
        <w:rPr>
          <w:rFonts w:ascii="Tahoma" w:hAnsi="Tahoma" w:cs="Tahoma"/>
          <w:iCs/>
          <w:color w:val="FF0000"/>
        </w:rPr>
      </w:pPr>
      <w:r w:rsidRPr="00CB4BAF">
        <w:rPr>
          <w:rFonts w:ascii="Tahoma" w:hAnsi="Tahoma" w:cs="Tahoma"/>
          <w:iCs/>
          <w:color w:val="FF0000"/>
        </w:rPr>
        <w:t xml:space="preserve">Este texto não substitui o publicado no </w:t>
      </w:r>
      <w:r w:rsidRPr="00367440">
        <w:rPr>
          <w:rFonts w:ascii="Tahoma" w:hAnsi="Tahoma" w:cs="Tahoma"/>
          <w:i/>
          <w:iCs/>
          <w:color w:val="FF0000"/>
        </w:rPr>
        <w:t>Diário da Câmara Legislativa</w:t>
      </w:r>
      <w:r w:rsidRPr="00CB4BAF">
        <w:rPr>
          <w:rFonts w:ascii="Tahoma" w:hAnsi="Tahoma" w:cs="Tahoma"/>
          <w:iCs/>
          <w:color w:val="FF0000"/>
        </w:rPr>
        <w:t>, de 14/11/2014.</w:t>
      </w:r>
    </w:p>
    <w:sectPr w:rsidR="00FE3589" w:rsidRPr="00CB4BAF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67B" w:rsidRDefault="009E267B" w:rsidP="00BB4A02">
      <w:r>
        <w:separator/>
      </w:r>
    </w:p>
  </w:endnote>
  <w:endnote w:type="continuationSeparator" w:id="0">
    <w:p w:rsidR="009E267B" w:rsidRDefault="009E267B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67B" w:rsidRDefault="001500B1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9E267B" w:rsidRPr="001F4CC7" w:rsidRDefault="009E267B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9E267B" w:rsidRPr="001F4CC7" w:rsidRDefault="009E267B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67B" w:rsidRDefault="009E267B" w:rsidP="00BB4A02">
      <w:r>
        <w:separator/>
      </w:r>
    </w:p>
  </w:footnote>
  <w:footnote w:type="continuationSeparator" w:id="0">
    <w:p w:rsidR="009E267B" w:rsidRDefault="009E267B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67B" w:rsidRDefault="001500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67B" w:rsidRDefault="001500B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9E267B" w:rsidRPr="001376AE" w:rsidRDefault="009E267B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9E267B" w:rsidRDefault="009E267B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9E267B" w:rsidRDefault="009E267B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9E267B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67B" w:rsidRDefault="001500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3665A"/>
    <w:rsid w:val="00051977"/>
    <w:rsid w:val="0006325B"/>
    <w:rsid w:val="00067028"/>
    <w:rsid w:val="00080F27"/>
    <w:rsid w:val="000A4CD3"/>
    <w:rsid w:val="000B0744"/>
    <w:rsid w:val="00122BCE"/>
    <w:rsid w:val="001376AE"/>
    <w:rsid w:val="0014605D"/>
    <w:rsid w:val="001500B1"/>
    <w:rsid w:val="00154F26"/>
    <w:rsid w:val="00160D9D"/>
    <w:rsid w:val="0016655B"/>
    <w:rsid w:val="00184FEE"/>
    <w:rsid w:val="00190289"/>
    <w:rsid w:val="001A0B1F"/>
    <w:rsid w:val="001A2E57"/>
    <w:rsid w:val="001F24E4"/>
    <w:rsid w:val="001F4CC7"/>
    <w:rsid w:val="00217CC7"/>
    <w:rsid w:val="00235B4F"/>
    <w:rsid w:val="002426E0"/>
    <w:rsid w:val="002549C7"/>
    <w:rsid w:val="0027261F"/>
    <w:rsid w:val="00275CD7"/>
    <w:rsid w:val="002A1E1A"/>
    <w:rsid w:val="002A792E"/>
    <w:rsid w:val="002B4DDA"/>
    <w:rsid w:val="00306443"/>
    <w:rsid w:val="003125EC"/>
    <w:rsid w:val="00316FCF"/>
    <w:rsid w:val="0031784E"/>
    <w:rsid w:val="00334EE7"/>
    <w:rsid w:val="00340021"/>
    <w:rsid w:val="00367440"/>
    <w:rsid w:val="00375143"/>
    <w:rsid w:val="003A0DBB"/>
    <w:rsid w:val="003A2310"/>
    <w:rsid w:val="003A60A3"/>
    <w:rsid w:val="003A6D02"/>
    <w:rsid w:val="003B1324"/>
    <w:rsid w:val="003B3BBD"/>
    <w:rsid w:val="003C2E7D"/>
    <w:rsid w:val="003D72BD"/>
    <w:rsid w:val="004116E7"/>
    <w:rsid w:val="00422300"/>
    <w:rsid w:val="00481C25"/>
    <w:rsid w:val="004B13D4"/>
    <w:rsid w:val="004B67CD"/>
    <w:rsid w:val="004C08D8"/>
    <w:rsid w:val="004C17B1"/>
    <w:rsid w:val="004C2599"/>
    <w:rsid w:val="004D637D"/>
    <w:rsid w:val="004E5A90"/>
    <w:rsid w:val="00500448"/>
    <w:rsid w:val="005071D6"/>
    <w:rsid w:val="0054263C"/>
    <w:rsid w:val="005757A4"/>
    <w:rsid w:val="005B3A73"/>
    <w:rsid w:val="005E5899"/>
    <w:rsid w:val="005F303C"/>
    <w:rsid w:val="005F3972"/>
    <w:rsid w:val="00602EFB"/>
    <w:rsid w:val="0063781B"/>
    <w:rsid w:val="00654630"/>
    <w:rsid w:val="006570B0"/>
    <w:rsid w:val="00672AB4"/>
    <w:rsid w:val="00673E27"/>
    <w:rsid w:val="006871B3"/>
    <w:rsid w:val="00687CA9"/>
    <w:rsid w:val="00696211"/>
    <w:rsid w:val="006A3518"/>
    <w:rsid w:val="006A70A7"/>
    <w:rsid w:val="006B3BA5"/>
    <w:rsid w:val="006B60CF"/>
    <w:rsid w:val="006B6E13"/>
    <w:rsid w:val="006D2F0C"/>
    <w:rsid w:val="006D5035"/>
    <w:rsid w:val="006E50C7"/>
    <w:rsid w:val="007021C4"/>
    <w:rsid w:val="00703A8C"/>
    <w:rsid w:val="00733607"/>
    <w:rsid w:val="00740DA4"/>
    <w:rsid w:val="007416A3"/>
    <w:rsid w:val="0074586F"/>
    <w:rsid w:val="007720BD"/>
    <w:rsid w:val="007751F0"/>
    <w:rsid w:val="00781F97"/>
    <w:rsid w:val="00786BDF"/>
    <w:rsid w:val="007971F7"/>
    <w:rsid w:val="007B55DE"/>
    <w:rsid w:val="007C4868"/>
    <w:rsid w:val="007D5405"/>
    <w:rsid w:val="007F1723"/>
    <w:rsid w:val="00805974"/>
    <w:rsid w:val="008230B8"/>
    <w:rsid w:val="00870E05"/>
    <w:rsid w:val="00875E11"/>
    <w:rsid w:val="00877E34"/>
    <w:rsid w:val="0088768F"/>
    <w:rsid w:val="008C4330"/>
    <w:rsid w:val="008D7335"/>
    <w:rsid w:val="008F4C18"/>
    <w:rsid w:val="00915614"/>
    <w:rsid w:val="0092658A"/>
    <w:rsid w:val="00944F59"/>
    <w:rsid w:val="00963501"/>
    <w:rsid w:val="00964A5B"/>
    <w:rsid w:val="00982B32"/>
    <w:rsid w:val="009A766F"/>
    <w:rsid w:val="009B7B15"/>
    <w:rsid w:val="009D1607"/>
    <w:rsid w:val="009E267B"/>
    <w:rsid w:val="009F1D9E"/>
    <w:rsid w:val="00A16281"/>
    <w:rsid w:val="00A33EAE"/>
    <w:rsid w:val="00A3403B"/>
    <w:rsid w:val="00A5287B"/>
    <w:rsid w:val="00A5430A"/>
    <w:rsid w:val="00A676C3"/>
    <w:rsid w:val="00A85394"/>
    <w:rsid w:val="00AA08C5"/>
    <w:rsid w:val="00AA4ABA"/>
    <w:rsid w:val="00AA5051"/>
    <w:rsid w:val="00AB3FC8"/>
    <w:rsid w:val="00AD4D01"/>
    <w:rsid w:val="00B05E68"/>
    <w:rsid w:val="00B176FE"/>
    <w:rsid w:val="00B218C1"/>
    <w:rsid w:val="00B3426C"/>
    <w:rsid w:val="00B55024"/>
    <w:rsid w:val="00B61612"/>
    <w:rsid w:val="00B64EC2"/>
    <w:rsid w:val="00B71D2F"/>
    <w:rsid w:val="00B9146B"/>
    <w:rsid w:val="00BA7E17"/>
    <w:rsid w:val="00BB4A02"/>
    <w:rsid w:val="00C025C8"/>
    <w:rsid w:val="00C228B6"/>
    <w:rsid w:val="00C30595"/>
    <w:rsid w:val="00C319D6"/>
    <w:rsid w:val="00C364FE"/>
    <w:rsid w:val="00C60289"/>
    <w:rsid w:val="00C6150D"/>
    <w:rsid w:val="00C80CC9"/>
    <w:rsid w:val="00C82F6C"/>
    <w:rsid w:val="00CA260A"/>
    <w:rsid w:val="00CB4BAF"/>
    <w:rsid w:val="00CD429C"/>
    <w:rsid w:val="00CE5292"/>
    <w:rsid w:val="00CF12E8"/>
    <w:rsid w:val="00CF2054"/>
    <w:rsid w:val="00D452A9"/>
    <w:rsid w:val="00D52EDF"/>
    <w:rsid w:val="00D552FC"/>
    <w:rsid w:val="00D70113"/>
    <w:rsid w:val="00D70DE3"/>
    <w:rsid w:val="00D74553"/>
    <w:rsid w:val="00D81DAF"/>
    <w:rsid w:val="00DA01CD"/>
    <w:rsid w:val="00DB5B02"/>
    <w:rsid w:val="00DD5FF2"/>
    <w:rsid w:val="00DD60EF"/>
    <w:rsid w:val="00DF6574"/>
    <w:rsid w:val="00E10A4E"/>
    <w:rsid w:val="00E46AD4"/>
    <w:rsid w:val="00E73B4F"/>
    <w:rsid w:val="00E77EDC"/>
    <w:rsid w:val="00ED2915"/>
    <w:rsid w:val="00ED505C"/>
    <w:rsid w:val="00EE7915"/>
    <w:rsid w:val="00F41746"/>
    <w:rsid w:val="00F54CCD"/>
    <w:rsid w:val="00F55F8E"/>
    <w:rsid w:val="00F561DE"/>
    <w:rsid w:val="00F954F2"/>
    <w:rsid w:val="00FA1CFE"/>
    <w:rsid w:val="00FA270F"/>
    <w:rsid w:val="00FB28A7"/>
    <w:rsid w:val="00FC5D28"/>
    <w:rsid w:val="00FE3589"/>
    <w:rsid w:val="00FF2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marcia.machado</cp:lastModifiedBy>
  <cp:revision>4</cp:revision>
  <cp:lastPrinted>2014-11-13T19:42:00Z</cp:lastPrinted>
  <dcterms:created xsi:type="dcterms:W3CDTF">2014-11-14T12:51:00Z</dcterms:created>
  <dcterms:modified xsi:type="dcterms:W3CDTF">2014-11-14T12:52:00Z</dcterms:modified>
</cp:coreProperties>
</file>