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 </w:t>
      </w:r>
      <w:r w:rsidR="00D94E26">
        <w:rPr>
          <w:rFonts w:ascii="Tahoma" w:hAnsi="Tahoma" w:cs="Tahoma"/>
          <w:b/>
          <w:sz w:val="24"/>
          <w:szCs w:val="24"/>
        </w:rPr>
        <w:t>67,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r w:rsidR="00D94E26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D94E26">
        <w:rPr>
          <w:rFonts w:ascii="Tahoma" w:hAnsi="Tahoma" w:cs="Tahoma"/>
          <w:b/>
          <w:sz w:val="24"/>
          <w:szCs w:val="24"/>
        </w:rPr>
        <w:t>2</w:t>
      </w:r>
      <w:proofErr w:type="gramEnd"/>
      <w:r w:rsidR="00D94E26">
        <w:rPr>
          <w:rFonts w:ascii="Tahoma" w:hAnsi="Tahoma" w:cs="Tahoma"/>
          <w:b/>
          <w:sz w:val="24"/>
          <w:szCs w:val="24"/>
        </w:rPr>
        <w:t xml:space="preserve"> 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DE </w:t>
      </w:r>
      <w:bookmarkStart w:id="0" w:name="_GoBack"/>
      <w:bookmarkEnd w:id="0"/>
      <w:r w:rsidR="00701A3C">
        <w:rPr>
          <w:rFonts w:ascii="Tahoma" w:hAnsi="Tahoma" w:cs="Tahoma"/>
          <w:b/>
          <w:sz w:val="24"/>
          <w:szCs w:val="24"/>
        </w:rPr>
        <w:t>OUTUBRO</w:t>
      </w:r>
      <w:r w:rsidR="00875E11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Default="00F61D13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</w:t>
      </w:r>
      <w:r w:rsidR="000B0744" w:rsidRPr="00963501">
        <w:rPr>
          <w:rFonts w:ascii="Tahoma" w:hAnsi="Tahoma" w:cs="Tahoma"/>
          <w:b/>
          <w:sz w:val="24"/>
          <w:szCs w:val="24"/>
        </w:rPr>
        <w:t>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8D289E" w:rsidRPr="008D289E">
        <w:rPr>
          <w:rFonts w:ascii="Tahoma" w:hAnsi="Tahoma" w:cs="Tahoma"/>
          <w:sz w:val="24"/>
          <w:szCs w:val="24"/>
        </w:rPr>
        <w:t>Constituir Grupo de Trabalho</w:t>
      </w:r>
      <w:r w:rsidR="008D289E">
        <w:rPr>
          <w:rFonts w:ascii="Tahoma" w:hAnsi="Tahoma" w:cs="Tahoma"/>
          <w:sz w:val="24"/>
          <w:szCs w:val="24"/>
        </w:rPr>
        <w:t xml:space="preserve"> com a finalidade de analisar e subsidiar a elaboração dos pareceres preliminar, parciais e geral ao Projeto de Lei nº 2003/2014, que “estima a Receita e Fixa a Despesa do Distrito Federal para o exercício financeiro de 2015.”</w:t>
      </w:r>
    </w:p>
    <w:p w:rsidR="008D289E" w:rsidRDefault="008D289E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8D289E">
        <w:rPr>
          <w:rFonts w:ascii="Tahoma" w:hAnsi="Tahoma" w:cs="Tahoma"/>
          <w:b/>
          <w:sz w:val="24"/>
          <w:szCs w:val="24"/>
        </w:rPr>
        <w:t xml:space="preserve">Art. 2º </w:t>
      </w:r>
      <w:r w:rsidRPr="008D289E">
        <w:rPr>
          <w:rFonts w:ascii="Tahoma" w:hAnsi="Tahoma" w:cs="Tahoma"/>
          <w:sz w:val="24"/>
          <w:szCs w:val="24"/>
        </w:rPr>
        <w:t>O Grupo de Trabalho</w:t>
      </w:r>
      <w:r>
        <w:rPr>
          <w:rFonts w:ascii="Tahoma" w:hAnsi="Tahoma" w:cs="Tahoma"/>
          <w:sz w:val="24"/>
          <w:szCs w:val="24"/>
        </w:rPr>
        <w:t>, sob a coordenação do Secretário da Comissão de Economia, Orçamento e Finanças, é composto pelos seguintes servidores:</w:t>
      </w:r>
    </w:p>
    <w:p w:rsidR="00701A3C" w:rsidRDefault="00701A3C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503"/>
        <w:gridCol w:w="1671"/>
        <w:gridCol w:w="3071"/>
      </w:tblGrid>
      <w:tr w:rsidR="008D289E" w:rsidTr="008D289E">
        <w:tc>
          <w:tcPr>
            <w:tcW w:w="4503" w:type="dxa"/>
          </w:tcPr>
          <w:p w:rsidR="008D289E" w:rsidRPr="00701A3C" w:rsidRDefault="008D289E" w:rsidP="00701A3C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01A3C">
              <w:rPr>
                <w:rFonts w:ascii="Tahoma" w:hAnsi="Tahoma" w:cs="Tahoma"/>
                <w:b/>
                <w:sz w:val="24"/>
                <w:szCs w:val="24"/>
              </w:rPr>
              <w:t>SERVIDOR</w:t>
            </w:r>
          </w:p>
        </w:tc>
        <w:tc>
          <w:tcPr>
            <w:tcW w:w="1637" w:type="dxa"/>
          </w:tcPr>
          <w:p w:rsidR="008D289E" w:rsidRPr="00701A3C" w:rsidRDefault="008D289E" w:rsidP="00701A3C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01A3C">
              <w:rPr>
                <w:rFonts w:ascii="Tahoma" w:hAnsi="Tahoma" w:cs="Tahoma"/>
                <w:b/>
                <w:sz w:val="24"/>
                <w:szCs w:val="24"/>
              </w:rPr>
              <w:t>MATRÍCULA</w:t>
            </w:r>
          </w:p>
        </w:tc>
        <w:tc>
          <w:tcPr>
            <w:tcW w:w="3071" w:type="dxa"/>
          </w:tcPr>
          <w:p w:rsidR="008D289E" w:rsidRPr="00701A3C" w:rsidRDefault="008D289E" w:rsidP="00701A3C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01A3C">
              <w:rPr>
                <w:rFonts w:ascii="Tahoma" w:hAnsi="Tahoma" w:cs="Tahoma"/>
                <w:b/>
                <w:sz w:val="24"/>
                <w:szCs w:val="24"/>
              </w:rPr>
              <w:t>CARGO</w:t>
            </w:r>
          </w:p>
        </w:tc>
      </w:tr>
      <w:tr w:rsidR="008D289E" w:rsidTr="008D289E">
        <w:tc>
          <w:tcPr>
            <w:tcW w:w="4503" w:type="dxa"/>
          </w:tcPr>
          <w:p w:rsidR="008D289E" w:rsidRDefault="008D289E" w:rsidP="00875E1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Getúlio José Rodrigues Pernambuco</w:t>
            </w:r>
          </w:p>
        </w:tc>
        <w:tc>
          <w:tcPr>
            <w:tcW w:w="1637" w:type="dxa"/>
          </w:tcPr>
          <w:p w:rsidR="008D289E" w:rsidRDefault="008D289E" w:rsidP="00875E1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11.395</w:t>
            </w:r>
          </w:p>
        </w:tc>
        <w:tc>
          <w:tcPr>
            <w:tcW w:w="3071" w:type="dxa"/>
          </w:tcPr>
          <w:p w:rsidR="008D289E" w:rsidRDefault="008D289E" w:rsidP="00875E1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Consultor Técnico-Legislativo/Economista</w:t>
            </w:r>
          </w:p>
        </w:tc>
      </w:tr>
      <w:tr w:rsidR="008D289E" w:rsidTr="008D289E">
        <w:tc>
          <w:tcPr>
            <w:tcW w:w="4503" w:type="dxa"/>
          </w:tcPr>
          <w:p w:rsidR="008D289E" w:rsidRDefault="008D289E" w:rsidP="00875E1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Patrícia Duboc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Jezini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Neto</w:t>
            </w:r>
          </w:p>
        </w:tc>
        <w:tc>
          <w:tcPr>
            <w:tcW w:w="1637" w:type="dxa"/>
          </w:tcPr>
          <w:p w:rsidR="008D289E" w:rsidRDefault="00701A3C" w:rsidP="00875E1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16.780</w:t>
            </w:r>
          </w:p>
        </w:tc>
        <w:tc>
          <w:tcPr>
            <w:tcW w:w="3071" w:type="dxa"/>
          </w:tcPr>
          <w:p w:rsidR="008D289E" w:rsidRDefault="00701A3C" w:rsidP="00875E1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Consultor Legislativo</w:t>
            </w:r>
          </w:p>
        </w:tc>
      </w:tr>
      <w:tr w:rsidR="008D289E" w:rsidTr="008D289E">
        <w:tc>
          <w:tcPr>
            <w:tcW w:w="4503" w:type="dxa"/>
          </w:tcPr>
          <w:p w:rsidR="008D289E" w:rsidRDefault="00701A3C" w:rsidP="00875E1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Tânia Paula </w:t>
            </w:r>
            <w:proofErr w:type="spellStart"/>
            <w:proofErr w:type="gramStart"/>
            <w:r>
              <w:rPr>
                <w:rFonts w:ascii="Tahoma" w:hAnsi="Tahoma" w:cs="Tahoma"/>
                <w:sz w:val="24"/>
                <w:szCs w:val="24"/>
              </w:rPr>
              <w:t>Sant’Ana</w:t>
            </w:r>
            <w:proofErr w:type="spellEnd"/>
            <w:proofErr w:type="gramEnd"/>
          </w:p>
        </w:tc>
        <w:tc>
          <w:tcPr>
            <w:tcW w:w="1637" w:type="dxa"/>
          </w:tcPr>
          <w:p w:rsidR="008D289E" w:rsidRDefault="00701A3C" w:rsidP="00875E1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16.832</w:t>
            </w:r>
          </w:p>
        </w:tc>
        <w:tc>
          <w:tcPr>
            <w:tcW w:w="3071" w:type="dxa"/>
          </w:tcPr>
          <w:p w:rsidR="008D289E" w:rsidRDefault="00701A3C" w:rsidP="00875E1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Consultora Técnico-Legislativa/Economista</w:t>
            </w:r>
          </w:p>
        </w:tc>
      </w:tr>
      <w:tr w:rsidR="00701A3C" w:rsidTr="008D289E">
        <w:tc>
          <w:tcPr>
            <w:tcW w:w="4503" w:type="dxa"/>
          </w:tcPr>
          <w:p w:rsidR="00701A3C" w:rsidRDefault="00701A3C" w:rsidP="00875E1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Glauco Lívio Silva Azevedo</w:t>
            </w:r>
          </w:p>
        </w:tc>
        <w:tc>
          <w:tcPr>
            <w:tcW w:w="1637" w:type="dxa"/>
          </w:tcPr>
          <w:p w:rsidR="00701A3C" w:rsidRDefault="00701A3C" w:rsidP="00875E1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16.765</w:t>
            </w:r>
          </w:p>
        </w:tc>
        <w:tc>
          <w:tcPr>
            <w:tcW w:w="3071" w:type="dxa"/>
          </w:tcPr>
          <w:p w:rsidR="00701A3C" w:rsidRDefault="00701A3C" w:rsidP="001444C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Consultor Técnico-Legislativo/Economista</w:t>
            </w:r>
          </w:p>
        </w:tc>
      </w:tr>
      <w:tr w:rsidR="00701A3C" w:rsidTr="008D289E">
        <w:tc>
          <w:tcPr>
            <w:tcW w:w="4503" w:type="dxa"/>
          </w:tcPr>
          <w:p w:rsidR="00701A3C" w:rsidRDefault="00701A3C" w:rsidP="00875E1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Nubiene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Leão Viana da Silva</w:t>
            </w:r>
          </w:p>
        </w:tc>
        <w:tc>
          <w:tcPr>
            <w:tcW w:w="1637" w:type="dxa"/>
          </w:tcPr>
          <w:p w:rsidR="00701A3C" w:rsidRDefault="00701A3C" w:rsidP="00875E1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16.812</w:t>
            </w:r>
          </w:p>
        </w:tc>
        <w:tc>
          <w:tcPr>
            <w:tcW w:w="3071" w:type="dxa"/>
          </w:tcPr>
          <w:p w:rsidR="00701A3C" w:rsidRDefault="00701A3C" w:rsidP="00875E1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Consultora Legislativa</w:t>
            </w:r>
          </w:p>
        </w:tc>
      </w:tr>
      <w:tr w:rsidR="00701A3C" w:rsidTr="008D289E">
        <w:tc>
          <w:tcPr>
            <w:tcW w:w="4503" w:type="dxa"/>
          </w:tcPr>
          <w:p w:rsidR="00701A3C" w:rsidRDefault="00701A3C" w:rsidP="00875E1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Hugo Mendes Plutarco</w:t>
            </w:r>
          </w:p>
        </w:tc>
        <w:tc>
          <w:tcPr>
            <w:tcW w:w="1637" w:type="dxa"/>
          </w:tcPr>
          <w:p w:rsidR="00701A3C" w:rsidRDefault="00701A3C" w:rsidP="00875E1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16.791</w:t>
            </w:r>
          </w:p>
        </w:tc>
        <w:tc>
          <w:tcPr>
            <w:tcW w:w="3071" w:type="dxa"/>
          </w:tcPr>
          <w:p w:rsidR="00701A3C" w:rsidRDefault="00701A3C" w:rsidP="00875E1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Consultor Legislativo</w:t>
            </w:r>
          </w:p>
        </w:tc>
      </w:tr>
    </w:tbl>
    <w:p w:rsidR="008D289E" w:rsidRDefault="008D289E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8D289E" w:rsidRDefault="00701A3C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701A3C">
        <w:rPr>
          <w:rFonts w:ascii="Tahoma" w:hAnsi="Tahoma" w:cs="Tahoma"/>
          <w:b/>
          <w:sz w:val="24"/>
          <w:szCs w:val="24"/>
        </w:rPr>
        <w:t>Art. 3º</w:t>
      </w:r>
      <w:r>
        <w:rPr>
          <w:rFonts w:ascii="Tahoma" w:hAnsi="Tahoma" w:cs="Tahoma"/>
          <w:sz w:val="24"/>
          <w:szCs w:val="24"/>
        </w:rPr>
        <w:t xml:space="preserve"> O Grupo de Trabalho terá duração até a publicação, no Diário da Câmara Legislativa do Distrito Federal, do Parecer Geral </w:t>
      </w:r>
      <w:r w:rsidR="00F650C3">
        <w:rPr>
          <w:rFonts w:ascii="Tahoma" w:hAnsi="Tahoma" w:cs="Tahoma"/>
          <w:sz w:val="24"/>
          <w:szCs w:val="24"/>
        </w:rPr>
        <w:t xml:space="preserve">ao PLOA, </w:t>
      </w:r>
      <w:r>
        <w:rPr>
          <w:rFonts w:ascii="Tahoma" w:hAnsi="Tahoma" w:cs="Tahoma"/>
          <w:sz w:val="24"/>
          <w:szCs w:val="24"/>
        </w:rPr>
        <w:t>aprovado na Comissão de</w:t>
      </w:r>
      <w:r w:rsidR="00F650C3">
        <w:rPr>
          <w:rFonts w:ascii="Tahoma" w:hAnsi="Tahoma" w:cs="Tahoma"/>
          <w:sz w:val="24"/>
          <w:szCs w:val="24"/>
        </w:rPr>
        <w:t xml:space="preserve"> Economia, Orçamento e Finanças para o exercício financeiro de 2015.</w:t>
      </w:r>
    </w:p>
    <w:p w:rsidR="004116E7" w:rsidRPr="00963501" w:rsidRDefault="000B0744" w:rsidP="000B0744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701A3C">
        <w:rPr>
          <w:rFonts w:ascii="Tahoma" w:hAnsi="Tahoma" w:cs="Tahoma"/>
          <w:b/>
          <w:sz w:val="24"/>
          <w:szCs w:val="24"/>
        </w:rPr>
        <w:t>4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 xml:space="preserve">Este </w:t>
      </w:r>
      <w:r w:rsidR="004116E7" w:rsidRPr="00F61D13">
        <w:rPr>
          <w:rFonts w:ascii="Tahoma" w:hAnsi="Tahoma" w:cs="Tahoma"/>
          <w:sz w:val="24"/>
          <w:szCs w:val="24"/>
        </w:rPr>
        <w:t>Ato</w:t>
      </w:r>
      <w:r w:rsidR="004116E7" w:rsidRPr="00963501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4116E7" w:rsidRPr="00963501" w:rsidRDefault="0030281B" w:rsidP="0030281B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Art. </w:t>
      </w:r>
      <w:r w:rsidR="00701A3C">
        <w:rPr>
          <w:rFonts w:ascii="Tahoma" w:hAnsi="Tahoma" w:cs="Tahoma"/>
          <w:b/>
          <w:sz w:val="24"/>
          <w:szCs w:val="24"/>
        </w:rPr>
        <w:t>5</w:t>
      </w:r>
      <w:r w:rsidR="000B0744" w:rsidRPr="00963501">
        <w:rPr>
          <w:rFonts w:ascii="Tahoma" w:hAnsi="Tahoma" w:cs="Tahoma"/>
          <w:b/>
          <w:sz w:val="24"/>
          <w:szCs w:val="24"/>
        </w:rPr>
        <w:t>º</w:t>
      </w:r>
      <w:r w:rsidR="000B0744"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</w:t>
      </w:r>
      <w:r w:rsidR="00701A3C">
        <w:rPr>
          <w:rFonts w:ascii="Tahoma" w:hAnsi="Tahoma" w:cs="Tahoma"/>
          <w:sz w:val="24"/>
          <w:szCs w:val="24"/>
        </w:rPr>
        <w:t>.</w:t>
      </w:r>
    </w:p>
    <w:p w:rsidR="00701A3C" w:rsidRPr="00963501" w:rsidRDefault="00701A3C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D94E26" w:rsidRDefault="00D94E26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D94E26" w:rsidRDefault="00D94E26" w:rsidP="00D94E26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D94E26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3/10/2014.</w:t>
      </w:r>
    </w:p>
    <w:sectPr w:rsidR="008F4C18" w:rsidRPr="00D94E26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89E" w:rsidRDefault="008D289E" w:rsidP="00BB4A02">
      <w:r>
        <w:separator/>
      </w:r>
    </w:p>
  </w:endnote>
  <w:endnote w:type="continuationSeparator" w:id="0">
    <w:p w:rsidR="008D289E" w:rsidRDefault="008D289E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9E" w:rsidRDefault="0074167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8D289E" w:rsidRPr="001F4CC7" w:rsidRDefault="008D289E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8D289E" w:rsidRPr="001F4CC7" w:rsidRDefault="008D289E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89E" w:rsidRDefault="008D289E" w:rsidP="00BB4A02">
      <w:r>
        <w:separator/>
      </w:r>
    </w:p>
  </w:footnote>
  <w:footnote w:type="continuationSeparator" w:id="0">
    <w:p w:rsidR="008D289E" w:rsidRDefault="008D289E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9E" w:rsidRDefault="0074167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9E" w:rsidRDefault="0074167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8D289E" w:rsidRPr="001376AE" w:rsidRDefault="008D289E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8D289E" w:rsidRPr="00D31778" w:rsidRDefault="008D289E" w:rsidP="00A676C3">
                <w:pPr>
                  <w:jc w:val="center"/>
                  <w:rPr>
                    <w:rFonts w:ascii="Tahoma" w:hAnsi="Tahoma" w:cs="Tahoma"/>
                    <w:sz w:val="22"/>
                  </w:rPr>
                </w:pPr>
                <w:r w:rsidRPr="00D31778">
                  <w:rPr>
                    <w:rFonts w:ascii="Tahoma" w:hAnsi="Tahoma" w:cs="Tahoma"/>
                    <w:sz w:val="22"/>
                  </w:rPr>
                  <w:t>MESA DIRETORA</w:t>
                </w:r>
              </w:p>
              <w:p w:rsidR="008D289E" w:rsidRDefault="008D289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8D289E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9E" w:rsidRDefault="0074167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3665A"/>
    <w:rsid w:val="00051977"/>
    <w:rsid w:val="0006325B"/>
    <w:rsid w:val="000A4CD3"/>
    <w:rsid w:val="000B0744"/>
    <w:rsid w:val="001376AE"/>
    <w:rsid w:val="00141DA8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7261F"/>
    <w:rsid w:val="00275CD7"/>
    <w:rsid w:val="002A1E1A"/>
    <w:rsid w:val="002A792E"/>
    <w:rsid w:val="002B4DDA"/>
    <w:rsid w:val="0030281B"/>
    <w:rsid w:val="00306443"/>
    <w:rsid w:val="003125EC"/>
    <w:rsid w:val="0031784E"/>
    <w:rsid w:val="00334EE7"/>
    <w:rsid w:val="00340021"/>
    <w:rsid w:val="00362B3C"/>
    <w:rsid w:val="003A2310"/>
    <w:rsid w:val="003A60A3"/>
    <w:rsid w:val="003C2E7D"/>
    <w:rsid w:val="003D72BD"/>
    <w:rsid w:val="003F2AFD"/>
    <w:rsid w:val="004116E7"/>
    <w:rsid w:val="00481C25"/>
    <w:rsid w:val="004C08D8"/>
    <w:rsid w:val="004C17B1"/>
    <w:rsid w:val="004C2599"/>
    <w:rsid w:val="004E5A90"/>
    <w:rsid w:val="00500448"/>
    <w:rsid w:val="005071D6"/>
    <w:rsid w:val="0054263C"/>
    <w:rsid w:val="005757A4"/>
    <w:rsid w:val="005B3A73"/>
    <w:rsid w:val="005F303C"/>
    <w:rsid w:val="005F3972"/>
    <w:rsid w:val="0063781B"/>
    <w:rsid w:val="00654630"/>
    <w:rsid w:val="006570B0"/>
    <w:rsid w:val="00673E27"/>
    <w:rsid w:val="00696211"/>
    <w:rsid w:val="006A3518"/>
    <w:rsid w:val="006B3BA5"/>
    <w:rsid w:val="006B60CF"/>
    <w:rsid w:val="006B6E13"/>
    <w:rsid w:val="006D2F0C"/>
    <w:rsid w:val="00701A3C"/>
    <w:rsid w:val="00740DA4"/>
    <w:rsid w:val="00740F5E"/>
    <w:rsid w:val="00741607"/>
    <w:rsid w:val="00741671"/>
    <w:rsid w:val="0074586F"/>
    <w:rsid w:val="007720BD"/>
    <w:rsid w:val="007751F0"/>
    <w:rsid w:val="00781F97"/>
    <w:rsid w:val="00786BDF"/>
    <w:rsid w:val="007971F7"/>
    <w:rsid w:val="007B55DE"/>
    <w:rsid w:val="007C04F5"/>
    <w:rsid w:val="007C4868"/>
    <w:rsid w:val="007D5405"/>
    <w:rsid w:val="007F1723"/>
    <w:rsid w:val="00805974"/>
    <w:rsid w:val="008230B8"/>
    <w:rsid w:val="00870E05"/>
    <w:rsid w:val="00875E11"/>
    <w:rsid w:val="00877E34"/>
    <w:rsid w:val="0088768F"/>
    <w:rsid w:val="008C4330"/>
    <w:rsid w:val="008D289E"/>
    <w:rsid w:val="008D7335"/>
    <w:rsid w:val="008E678B"/>
    <w:rsid w:val="008F4C18"/>
    <w:rsid w:val="00915614"/>
    <w:rsid w:val="0092658A"/>
    <w:rsid w:val="00944F59"/>
    <w:rsid w:val="00963501"/>
    <w:rsid w:val="00964A5B"/>
    <w:rsid w:val="00982B32"/>
    <w:rsid w:val="009A766F"/>
    <w:rsid w:val="009B7B15"/>
    <w:rsid w:val="009D1607"/>
    <w:rsid w:val="009F1D9E"/>
    <w:rsid w:val="00A33EAE"/>
    <w:rsid w:val="00A5287B"/>
    <w:rsid w:val="00A5430A"/>
    <w:rsid w:val="00A676C3"/>
    <w:rsid w:val="00A67EED"/>
    <w:rsid w:val="00AA08C5"/>
    <w:rsid w:val="00AA5051"/>
    <w:rsid w:val="00AB3FC8"/>
    <w:rsid w:val="00AC5DA9"/>
    <w:rsid w:val="00AD4D01"/>
    <w:rsid w:val="00B05E68"/>
    <w:rsid w:val="00B218C1"/>
    <w:rsid w:val="00B3426C"/>
    <w:rsid w:val="00B55024"/>
    <w:rsid w:val="00B64EC2"/>
    <w:rsid w:val="00B71D2F"/>
    <w:rsid w:val="00B9146B"/>
    <w:rsid w:val="00BA7E17"/>
    <w:rsid w:val="00BB4A02"/>
    <w:rsid w:val="00C021CC"/>
    <w:rsid w:val="00C025C8"/>
    <w:rsid w:val="00C319D6"/>
    <w:rsid w:val="00C364FE"/>
    <w:rsid w:val="00C6150D"/>
    <w:rsid w:val="00C80CC9"/>
    <w:rsid w:val="00C82F6C"/>
    <w:rsid w:val="00CD429C"/>
    <w:rsid w:val="00CE5292"/>
    <w:rsid w:val="00CF12E8"/>
    <w:rsid w:val="00CF2054"/>
    <w:rsid w:val="00D31778"/>
    <w:rsid w:val="00D452A9"/>
    <w:rsid w:val="00D52EDF"/>
    <w:rsid w:val="00D67F8B"/>
    <w:rsid w:val="00D70113"/>
    <w:rsid w:val="00D70DE3"/>
    <w:rsid w:val="00D81DAF"/>
    <w:rsid w:val="00D94E26"/>
    <w:rsid w:val="00DD5FF2"/>
    <w:rsid w:val="00DD60EF"/>
    <w:rsid w:val="00E10A4E"/>
    <w:rsid w:val="00E46AD4"/>
    <w:rsid w:val="00E73B4F"/>
    <w:rsid w:val="00E77EDC"/>
    <w:rsid w:val="00ED2915"/>
    <w:rsid w:val="00ED505C"/>
    <w:rsid w:val="00EE2D49"/>
    <w:rsid w:val="00F12B0B"/>
    <w:rsid w:val="00F41746"/>
    <w:rsid w:val="00F54CCD"/>
    <w:rsid w:val="00F55F8E"/>
    <w:rsid w:val="00F61D13"/>
    <w:rsid w:val="00F650C3"/>
    <w:rsid w:val="00F954F2"/>
    <w:rsid w:val="00FA270F"/>
    <w:rsid w:val="00FB28A7"/>
    <w:rsid w:val="00FC5D28"/>
    <w:rsid w:val="00FE6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marcia.machado</cp:lastModifiedBy>
  <cp:revision>2</cp:revision>
  <cp:lastPrinted>2014-03-12T21:05:00Z</cp:lastPrinted>
  <dcterms:created xsi:type="dcterms:W3CDTF">2014-10-10T18:10:00Z</dcterms:created>
  <dcterms:modified xsi:type="dcterms:W3CDTF">2014-10-10T18:10:00Z</dcterms:modified>
</cp:coreProperties>
</file>