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7955AD">
        <w:rPr>
          <w:rFonts w:ascii="Tahoma" w:hAnsi="Tahoma" w:cs="Tahoma"/>
          <w:b/>
          <w:sz w:val="24"/>
          <w:szCs w:val="24"/>
        </w:rPr>
        <w:t xml:space="preserve"> 5</w:t>
      </w:r>
      <w:r w:rsidR="003E02BD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7955AD">
        <w:rPr>
          <w:rFonts w:ascii="Tahoma" w:hAnsi="Tahoma" w:cs="Tahoma"/>
          <w:b/>
          <w:sz w:val="24"/>
          <w:szCs w:val="24"/>
        </w:rPr>
        <w:t xml:space="preserve"> </w:t>
      </w:r>
      <w:r w:rsidR="003E02BD">
        <w:rPr>
          <w:rFonts w:ascii="Tahoma" w:hAnsi="Tahoma" w:cs="Tahoma"/>
          <w:b/>
          <w:sz w:val="24"/>
          <w:szCs w:val="24"/>
        </w:rPr>
        <w:t>11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1053DD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FC6802">
        <w:rPr>
          <w:rFonts w:ascii="Tahoma" w:hAnsi="Tahoma" w:cs="Tahoma"/>
          <w:sz w:val="24"/>
          <w:szCs w:val="24"/>
        </w:rPr>
        <w:t>Ato do Presidente nº 5, de 2014, publicado no DCL nº 002, de 7/1/2014,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FC6802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</w:t>
      </w:r>
      <w:r w:rsidR="000B0744"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6C1F37">
        <w:rPr>
          <w:rFonts w:ascii="Tahoma" w:hAnsi="Tahoma" w:cs="Tahoma"/>
          <w:b/>
          <w:sz w:val="24"/>
          <w:szCs w:val="24"/>
        </w:rPr>
        <w:t xml:space="preserve">DESIGNAR </w:t>
      </w:r>
      <w:r w:rsidR="00BE4A9A">
        <w:rPr>
          <w:rFonts w:ascii="Tahoma" w:hAnsi="Tahoma" w:cs="Tahoma"/>
          <w:sz w:val="24"/>
          <w:szCs w:val="24"/>
        </w:rPr>
        <w:t>a servidora MARGARETTE DE CÁSSIA SOUZA DE RESENDE, Técnico Legislativo, matrícula nº 12.557, CPF nº 327.338.951-68, como executora e DULCE PORTELA VAZ DE OLIVEIRA REINER, Consultora Técnico Legislativo, matrícula nº 11.107, CPF nº 339.498.401-68, como executora substituta do contrato abaixo especificado</w:t>
      </w:r>
      <w:r w:rsidR="006C1F37">
        <w:rPr>
          <w:rFonts w:ascii="Tahoma" w:hAnsi="Tahoma" w:cs="Tahoma"/>
          <w:sz w:val="24"/>
          <w:szCs w:val="24"/>
        </w:rPr>
        <w:t xml:space="preserve"> cabendo aos designados exercer as atribuições previstas na Lei nº 8.666/</w:t>
      </w:r>
      <w:r w:rsidR="00BE4A9A">
        <w:rPr>
          <w:rFonts w:ascii="Tahoma" w:hAnsi="Tahoma" w:cs="Tahoma"/>
          <w:sz w:val="24"/>
          <w:szCs w:val="24"/>
        </w:rPr>
        <w:t>19</w:t>
      </w:r>
      <w:r w:rsidR="006C1F37">
        <w:rPr>
          <w:rFonts w:ascii="Tahoma" w:hAnsi="Tahoma" w:cs="Tahoma"/>
          <w:sz w:val="24"/>
          <w:szCs w:val="24"/>
        </w:rPr>
        <w:t xml:space="preserve">93, no Ato nº 42/1997, no Ato da Mesa Diretora nº 34/2005 e nas Normas de Execução Orçamentária, Financeira e Contábil do Distrito Federal: </w:t>
      </w:r>
    </w:p>
    <w:p w:rsidR="006C1F37" w:rsidRDefault="006C1F37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1701"/>
        <w:gridCol w:w="1701"/>
      </w:tblGrid>
      <w:tr w:rsidR="006C1F37" w:rsidRPr="00963501" w:rsidTr="006C1F3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6C1F37" w:rsidRPr="00963501" w:rsidTr="006C1F3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BE4A9A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MARCA COMÉRCIO E SERVIÇOS DE SINALIZAÇÃO LTDA-ME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1F37" w:rsidRPr="00963501" w:rsidTr="006C1F37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6C1F3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BE4A9A" w:rsidP="00727345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Prestação de serviços do sistema de sinalização visual e tátil da CLDF.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6C1F37" w:rsidP="00BE4A9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BE4A9A">
              <w:rPr>
                <w:rFonts w:ascii="Tahoma" w:hAnsi="Tahoma" w:cs="Tahoma"/>
                <w:sz w:val="24"/>
                <w:szCs w:val="24"/>
              </w:rPr>
              <w:t>69</w:t>
            </w:r>
            <w:r>
              <w:rPr>
                <w:rFonts w:ascii="Tahoma" w:hAnsi="Tahoma" w:cs="Tahoma"/>
                <w:sz w:val="24"/>
                <w:szCs w:val="24"/>
              </w:rPr>
              <w:t>/201</w:t>
            </w:r>
            <w:r w:rsidR="00BE4A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37" w:rsidRPr="00963501" w:rsidRDefault="00BE4A9A" w:rsidP="00BE4A9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="006C1F37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</w:tbl>
    <w:p w:rsidR="006C1F37" w:rsidRPr="006C1F37" w:rsidRDefault="006C1F37" w:rsidP="006C1F37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6E7C6E" w:rsidRPr="00963501" w:rsidRDefault="00FC6802" w:rsidP="00FC680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B67F7D"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="00B67F7D" w:rsidRPr="00B67F7D">
        <w:rPr>
          <w:rFonts w:ascii="Tahoma" w:hAnsi="Tahoma" w:cs="Tahoma"/>
          <w:b/>
          <w:sz w:val="24"/>
          <w:szCs w:val="24"/>
        </w:rPr>
        <w:t>º</w:t>
      </w:r>
      <w:r w:rsidR="00B67F7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Est</w:t>
      </w:r>
      <w:r w:rsidR="00BE4A9A">
        <w:rPr>
          <w:rFonts w:ascii="Tahoma" w:hAnsi="Tahoma" w:cs="Tahoma"/>
          <w:sz w:val="24"/>
          <w:szCs w:val="24"/>
        </w:rPr>
        <w:t>e</w:t>
      </w:r>
      <w:r w:rsidR="004116E7" w:rsidRPr="00963501">
        <w:rPr>
          <w:rFonts w:ascii="Tahoma" w:hAnsi="Tahoma" w:cs="Tahoma"/>
          <w:sz w:val="24"/>
          <w:szCs w:val="24"/>
        </w:rPr>
        <w:t xml:space="preserve"> </w:t>
      </w:r>
      <w:r w:rsidR="00BE4A9A">
        <w:rPr>
          <w:rFonts w:ascii="Tahoma" w:hAnsi="Tahoma" w:cs="Tahoma"/>
          <w:sz w:val="24"/>
          <w:szCs w:val="24"/>
        </w:rPr>
        <w:t>Ato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4116E7" w:rsidRPr="00963501" w:rsidRDefault="000B0744" w:rsidP="00A56CE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</w:t>
      </w:r>
      <w:r w:rsidR="00BE4A9A">
        <w:rPr>
          <w:rFonts w:ascii="Tahoma" w:hAnsi="Tahoma" w:cs="Tahoma"/>
          <w:sz w:val="24"/>
          <w:szCs w:val="24"/>
        </w:rPr>
        <w:t>-se as disposições em contrário, em especial aquelas contidas nos Atos do Presidente nº 91, de 2013</w:t>
      </w:r>
      <w:r w:rsidR="00A56CEF">
        <w:rPr>
          <w:rFonts w:ascii="Tahoma" w:hAnsi="Tahoma" w:cs="Tahoma"/>
          <w:sz w:val="24"/>
          <w:szCs w:val="24"/>
        </w:rPr>
        <w:t>, publicado no DCL em 18/2/2013, e nº 340, de 2013, publicado no DCL em 20/6/2013.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D04B0E" w:rsidRPr="007955AD" w:rsidRDefault="007955AD" w:rsidP="006D57B1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955AD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A56CEF">
        <w:rPr>
          <w:rFonts w:ascii="Tahoma" w:hAnsi="Tahoma" w:cs="Tahoma"/>
          <w:color w:val="FF0000"/>
        </w:rPr>
        <w:t>12</w:t>
      </w:r>
      <w:r>
        <w:rPr>
          <w:rFonts w:ascii="Tahoma" w:hAnsi="Tahoma" w:cs="Tahoma"/>
          <w:color w:val="FF0000"/>
        </w:rPr>
        <w:t>/9/2014.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A9A" w:rsidRDefault="00BE4A9A" w:rsidP="00BB4A02">
      <w:r>
        <w:separator/>
      </w:r>
    </w:p>
  </w:endnote>
  <w:endnote w:type="continuationSeparator" w:id="0">
    <w:p w:rsidR="00BE4A9A" w:rsidRDefault="00BE4A9A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9A" w:rsidRDefault="00BE4A9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E4A9A" w:rsidRPr="001F4CC7" w:rsidRDefault="00BE4A9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BE4A9A" w:rsidRPr="001F4CC7" w:rsidRDefault="00BE4A9A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A9A" w:rsidRDefault="00BE4A9A" w:rsidP="00BB4A02">
      <w:r>
        <w:separator/>
      </w:r>
    </w:p>
  </w:footnote>
  <w:footnote w:type="continuationSeparator" w:id="0">
    <w:p w:rsidR="00BE4A9A" w:rsidRDefault="00BE4A9A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9A" w:rsidRDefault="00BE4A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9A" w:rsidRDefault="00BE4A9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E4A9A" w:rsidRPr="001376AE" w:rsidRDefault="00BE4A9A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E4A9A" w:rsidRDefault="00BE4A9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E4A9A" w:rsidRDefault="00BE4A9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9A" w:rsidRDefault="00BE4A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3E02BD"/>
    <w:rsid w:val="003F54B7"/>
    <w:rsid w:val="004116E7"/>
    <w:rsid w:val="00425A11"/>
    <w:rsid w:val="0043319F"/>
    <w:rsid w:val="00481C25"/>
    <w:rsid w:val="00487AEE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928D6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C1F37"/>
    <w:rsid w:val="006D2F0C"/>
    <w:rsid w:val="006D57B1"/>
    <w:rsid w:val="006E7C6E"/>
    <w:rsid w:val="00701517"/>
    <w:rsid w:val="00702221"/>
    <w:rsid w:val="00727345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70E05"/>
    <w:rsid w:val="00871E88"/>
    <w:rsid w:val="00875E11"/>
    <w:rsid w:val="00877E34"/>
    <w:rsid w:val="00885DDC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40C5"/>
    <w:rsid w:val="00A5287B"/>
    <w:rsid w:val="00A5430A"/>
    <w:rsid w:val="00A548F6"/>
    <w:rsid w:val="00A56CEF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BE4A9A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  <w:rsid w:val="00FC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3</cp:revision>
  <cp:lastPrinted>2014-09-02T15:27:00Z</cp:lastPrinted>
  <dcterms:created xsi:type="dcterms:W3CDTF">2014-09-15T16:18:00Z</dcterms:created>
  <dcterms:modified xsi:type="dcterms:W3CDTF">2014-09-15T16:47:00Z</dcterms:modified>
</cp:coreProperties>
</file>