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FC6E1B">
        <w:rPr>
          <w:rFonts w:ascii="Tahoma" w:hAnsi="Tahoma" w:cs="Tahoma"/>
          <w:b/>
          <w:sz w:val="24"/>
          <w:szCs w:val="24"/>
        </w:rPr>
        <w:t xml:space="preserve"> 4</w:t>
      </w:r>
      <w:r w:rsidR="000D1897">
        <w:rPr>
          <w:rFonts w:ascii="Tahoma" w:hAnsi="Tahoma" w:cs="Tahoma"/>
          <w:b/>
          <w:sz w:val="24"/>
          <w:szCs w:val="24"/>
        </w:rPr>
        <w:t>8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FC6E1B">
        <w:rPr>
          <w:rFonts w:ascii="Tahoma" w:hAnsi="Tahoma" w:cs="Tahoma"/>
          <w:b/>
          <w:sz w:val="24"/>
          <w:szCs w:val="24"/>
        </w:rPr>
        <w:t>1</w:t>
      </w:r>
      <w:r w:rsidR="000D1897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D06B65">
        <w:rPr>
          <w:rFonts w:ascii="Tahoma" w:hAnsi="Tahoma" w:cs="Tahoma"/>
          <w:b/>
          <w:sz w:val="24"/>
          <w:szCs w:val="24"/>
        </w:rPr>
        <w:t xml:space="preserve"> AGOSTO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0D1897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0D1897">
        <w:rPr>
          <w:rFonts w:ascii="Tahoma" w:hAnsi="Tahoma" w:cs="Tahoma"/>
          <w:b/>
          <w:sz w:val="24"/>
          <w:szCs w:val="24"/>
        </w:rPr>
        <w:t>DESIGNAR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0D1897">
        <w:rPr>
          <w:rFonts w:ascii="Tahoma" w:hAnsi="Tahoma" w:cs="Tahoma"/>
          <w:b/>
          <w:sz w:val="24"/>
          <w:szCs w:val="24"/>
        </w:rPr>
        <w:t>GUSTAVO TRINDADE DE OLIVEIRA</w:t>
      </w:r>
      <w:r w:rsidR="004B67CD">
        <w:rPr>
          <w:rFonts w:ascii="Tahoma" w:hAnsi="Tahoma" w:cs="Tahoma"/>
          <w:sz w:val="24"/>
          <w:szCs w:val="24"/>
        </w:rPr>
        <w:t>, 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 xml:space="preserve">Legislativo, matrícula nº </w:t>
      </w:r>
      <w:r w:rsidR="000D1897">
        <w:rPr>
          <w:rFonts w:ascii="Tahoma" w:hAnsi="Tahoma" w:cs="Tahoma"/>
          <w:sz w:val="24"/>
          <w:szCs w:val="24"/>
        </w:rPr>
        <w:t>16.700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0D1897">
        <w:rPr>
          <w:rFonts w:ascii="Tahoma" w:hAnsi="Tahoma" w:cs="Tahoma"/>
          <w:sz w:val="24"/>
          <w:szCs w:val="24"/>
        </w:rPr>
        <w:t>005.968.111-01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0D1897">
        <w:rPr>
          <w:rFonts w:ascii="Tahoma" w:hAnsi="Tahoma" w:cs="Tahoma"/>
          <w:b/>
          <w:sz w:val="24"/>
          <w:szCs w:val="24"/>
        </w:rPr>
        <w:t>JOSÉ MANOEL DA SILVA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6E7C6E">
        <w:rPr>
          <w:rFonts w:ascii="Tahoma" w:hAnsi="Tahoma" w:cs="Tahoma"/>
          <w:sz w:val="24"/>
          <w:szCs w:val="24"/>
        </w:rPr>
        <w:t>A</w:t>
      </w:r>
      <w:r w:rsidR="000D1897">
        <w:rPr>
          <w:rFonts w:ascii="Tahoma" w:hAnsi="Tahoma" w:cs="Tahoma"/>
          <w:sz w:val="24"/>
          <w:szCs w:val="24"/>
        </w:rPr>
        <w:t>uxiliar</w:t>
      </w:r>
      <w:r w:rsidR="000D78F7">
        <w:rPr>
          <w:rFonts w:ascii="Tahoma" w:hAnsi="Tahoma" w:cs="Tahoma"/>
          <w:sz w:val="24"/>
          <w:szCs w:val="24"/>
        </w:rPr>
        <w:t xml:space="preserve">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 xml:space="preserve">egislativo, matrícula nº </w:t>
      </w:r>
      <w:r w:rsidR="000D1897">
        <w:rPr>
          <w:rFonts w:ascii="Tahoma" w:hAnsi="Tahoma" w:cs="Tahoma"/>
          <w:sz w:val="24"/>
          <w:szCs w:val="24"/>
        </w:rPr>
        <w:t>13.277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0D1897">
        <w:rPr>
          <w:rFonts w:ascii="Tahoma" w:hAnsi="Tahoma" w:cs="Tahoma"/>
          <w:sz w:val="24"/>
          <w:szCs w:val="24"/>
        </w:rPr>
        <w:t>245.290.361-20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0D1897">
        <w:rPr>
          <w:rFonts w:ascii="Tahoma" w:hAnsi="Tahoma" w:cs="Tahoma"/>
          <w:sz w:val="24"/>
          <w:szCs w:val="24"/>
        </w:rPr>
        <w:t xml:space="preserve">da Permissão de Uso abaixo especificada, cabendo aos designados exercer as atribuições previstas na Lei nº 8.666/93, no Ato nº 42/97, no Ato da Mesa Diretora nº 34/05 e nas Normas de Execução Orçamentária, Financeira e Contábil do Distrito Federal: 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686"/>
        <w:gridCol w:w="1701"/>
        <w:gridCol w:w="1701"/>
      </w:tblGrid>
      <w:tr w:rsidR="004116E7" w:rsidRPr="00963501" w:rsidTr="00FC6E1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116E7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0D1897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TPU</w:t>
            </w:r>
          </w:p>
        </w:tc>
      </w:tr>
      <w:tr w:rsidR="00C025C8" w:rsidRPr="00963501" w:rsidTr="000D18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0D1897" w:rsidP="000D18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RBA COMÉRCIO DE REFEIÇÕES LTDA-ME.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0D1897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1897" w:rsidP="000D18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Permissão de uso de área pública em caráter precário e oneroso, de espaço físico de 17,95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(dezessete inteiros e noventa e cinco centésimos de metro quadrado) para o serviço de operação e administração de uma lanchonete.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1897" w:rsidP="009E1B1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999/2013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1897" w:rsidP="009E1B1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02/2014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Default="000B0744" w:rsidP="00207D4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0D1897">
        <w:rPr>
          <w:rFonts w:ascii="Tahoma" w:hAnsi="Tahoma" w:cs="Tahoma"/>
          <w:b/>
          <w:sz w:val="24"/>
          <w:szCs w:val="24"/>
        </w:rPr>
        <w:t>DESIGNAR</w:t>
      </w:r>
      <w:r w:rsidR="000D1897">
        <w:rPr>
          <w:rFonts w:ascii="Tahoma" w:hAnsi="Tahoma" w:cs="Tahoma"/>
          <w:sz w:val="24"/>
          <w:szCs w:val="24"/>
        </w:rPr>
        <w:t xml:space="preserve"> como fiscal da Permissão de Uso discriminada acima o seguinte servidor:</w:t>
      </w:r>
    </w:p>
    <w:p w:rsidR="000D1897" w:rsidRDefault="000D1897" w:rsidP="00207D4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– </w:t>
      </w:r>
      <w:r>
        <w:rPr>
          <w:rFonts w:ascii="Tahoma" w:hAnsi="Tahoma" w:cs="Tahoma"/>
          <w:b/>
          <w:sz w:val="24"/>
          <w:szCs w:val="24"/>
        </w:rPr>
        <w:t xml:space="preserve">JOSÉ EXPEDITO RODRÍGUES </w:t>
      </w:r>
      <w:r w:rsidR="00207D46">
        <w:rPr>
          <w:rFonts w:ascii="Tahoma" w:hAnsi="Tahoma" w:cs="Tahoma"/>
          <w:b/>
          <w:sz w:val="24"/>
          <w:szCs w:val="24"/>
        </w:rPr>
        <w:t>FERREIRA,</w:t>
      </w:r>
      <w:r>
        <w:rPr>
          <w:rFonts w:ascii="Tahoma" w:hAnsi="Tahoma" w:cs="Tahoma"/>
          <w:sz w:val="24"/>
          <w:szCs w:val="24"/>
        </w:rPr>
        <w:t xml:space="preserve"> matrícula nº 12.000, CPF nº 266.354.531-71;</w:t>
      </w:r>
    </w:p>
    <w:p w:rsidR="00207D46" w:rsidRDefault="000B0744" w:rsidP="00207D4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207D46">
        <w:rPr>
          <w:rFonts w:ascii="Tahoma" w:hAnsi="Tahoma" w:cs="Tahoma"/>
          <w:b/>
          <w:sz w:val="24"/>
          <w:szCs w:val="24"/>
        </w:rPr>
        <w:t>ATRIBUIR</w:t>
      </w:r>
      <w:r w:rsidR="00207D46">
        <w:rPr>
          <w:rFonts w:ascii="Tahoma" w:hAnsi="Tahoma" w:cs="Tahoma"/>
          <w:sz w:val="24"/>
          <w:szCs w:val="24"/>
        </w:rPr>
        <w:t xml:space="preserve"> ao fiscal acima designado </w:t>
      </w:r>
      <w:proofErr w:type="gramStart"/>
      <w:r w:rsidR="00207D46">
        <w:rPr>
          <w:rFonts w:ascii="Tahoma" w:hAnsi="Tahoma" w:cs="Tahoma"/>
          <w:sz w:val="24"/>
          <w:szCs w:val="24"/>
        </w:rPr>
        <w:t>as</w:t>
      </w:r>
      <w:proofErr w:type="gramEnd"/>
      <w:r w:rsidR="00207D46">
        <w:rPr>
          <w:rFonts w:ascii="Tahoma" w:hAnsi="Tahoma" w:cs="Tahoma"/>
          <w:sz w:val="24"/>
          <w:szCs w:val="24"/>
        </w:rPr>
        <w:t xml:space="preserve"> seguintes obrigações:</w:t>
      </w:r>
    </w:p>
    <w:p w:rsidR="00207D46" w:rsidRDefault="00207D46" w:rsidP="00207D4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207D46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>– acompanhar a realização dos serviços pela contratada, comunicando imediatamente aos executores sobre eventuais ocorrências;</w:t>
      </w:r>
    </w:p>
    <w:p w:rsidR="00207D46" w:rsidRDefault="00207D46" w:rsidP="00207D4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 – atestar a quantidade e a qualidade do objeto executado, conforme previsto no respectivo Termo de Referência;</w:t>
      </w:r>
    </w:p>
    <w:p w:rsidR="00207D46" w:rsidRDefault="00207D46" w:rsidP="00207D4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III – dirimir com os executores as eventuais dúvidas relativas à atividade de fiscalização. </w:t>
      </w:r>
    </w:p>
    <w:p w:rsidR="00207D46" w:rsidRDefault="00207D46" w:rsidP="00207D4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Art. 4º </w:t>
      </w:r>
      <w:r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5º </w:t>
      </w:r>
      <w:r>
        <w:rPr>
          <w:rFonts w:ascii="Tahoma" w:hAnsi="Tahoma" w:cs="Tahoma"/>
          <w:sz w:val="24"/>
          <w:szCs w:val="24"/>
        </w:rPr>
        <w:t xml:space="preserve">Revogam-se as disposições em contrário. </w:t>
      </w: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207D46" w:rsidP="00207D46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FC6E1B" w:rsidRDefault="00FC6E1B" w:rsidP="00FC6E1B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C6E1B">
        <w:rPr>
          <w:rFonts w:ascii="Tahoma" w:hAnsi="Tahoma" w:cs="Tahoma"/>
          <w:i/>
          <w:color w:val="FF0000"/>
        </w:rPr>
        <w:t>Diário da Câmara Legislativ</w:t>
      </w:r>
      <w:r>
        <w:rPr>
          <w:rFonts w:ascii="Tahoma" w:hAnsi="Tahoma" w:cs="Tahoma"/>
          <w:i/>
          <w:color w:val="FF0000"/>
        </w:rPr>
        <w:t>a</w:t>
      </w:r>
      <w:r>
        <w:rPr>
          <w:rFonts w:ascii="Tahoma" w:hAnsi="Tahoma" w:cs="Tahoma"/>
          <w:color w:val="FF0000"/>
        </w:rPr>
        <w:t xml:space="preserve">, de </w:t>
      </w:r>
      <w:r w:rsidR="00207D46">
        <w:rPr>
          <w:rFonts w:ascii="Tahoma" w:hAnsi="Tahoma" w:cs="Tahoma"/>
          <w:color w:val="FF0000"/>
        </w:rPr>
        <w:t>20</w:t>
      </w:r>
      <w:r>
        <w:rPr>
          <w:rFonts w:ascii="Tahoma" w:hAnsi="Tahoma" w:cs="Tahoma"/>
          <w:color w:val="FF0000"/>
        </w:rPr>
        <w:t>/8/2014.</w:t>
      </w:r>
    </w:p>
    <w:sectPr w:rsidR="008F4C18" w:rsidRPr="00FC6E1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897" w:rsidRDefault="000D1897" w:rsidP="00BB4A02">
      <w:r>
        <w:separator/>
      </w:r>
    </w:p>
  </w:endnote>
  <w:endnote w:type="continuationSeparator" w:id="1">
    <w:p w:rsidR="000D1897" w:rsidRDefault="000D189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0D189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D1897" w:rsidRPr="001F4CC7" w:rsidRDefault="000D189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D1897" w:rsidRPr="001F4CC7" w:rsidRDefault="000D189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897" w:rsidRDefault="000D1897" w:rsidP="00BB4A02">
      <w:r>
        <w:separator/>
      </w:r>
    </w:p>
  </w:footnote>
  <w:footnote w:type="continuationSeparator" w:id="1">
    <w:p w:rsidR="000D1897" w:rsidRDefault="000D189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0D18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0D189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D1897" w:rsidRPr="001376AE" w:rsidRDefault="000D189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D1897" w:rsidRDefault="000D189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D1897" w:rsidRDefault="000D189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0D18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1897"/>
    <w:rsid w:val="000D78F7"/>
    <w:rsid w:val="00100D80"/>
    <w:rsid w:val="00113085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07D46"/>
    <w:rsid w:val="0021061B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A2310"/>
    <w:rsid w:val="003A60A3"/>
    <w:rsid w:val="003B3BBD"/>
    <w:rsid w:val="003C2E7D"/>
    <w:rsid w:val="003D72BD"/>
    <w:rsid w:val="004116E7"/>
    <w:rsid w:val="0043319F"/>
    <w:rsid w:val="00475466"/>
    <w:rsid w:val="00481C25"/>
    <w:rsid w:val="004B13D4"/>
    <w:rsid w:val="004B67CD"/>
    <w:rsid w:val="004C08D8"/>
    <w:rsid w:val="004C17B1"/>
    <w:rsid w:val="004C2599"/>
    <w:rsid w:val="004E5A90"/>
    <w:rsid w:val="00500448"/>
    <w:rsid w:val="00504F05"/>
    <w:rsid w:val="005071D6"/>
    <w:rsid w:val="0054263C"/>
    <w:rsid w:val="00566D8A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4A9B"/>
    <w:rsid w:val="00696211"/>
    <w:rsid w:val="006A3518"/>
    <w:rsid w:val="006B3BA5"/>
    <w:rsid w:val="006B60CF"/>
    <w:rsid w:val="006B6E13"/>
    <w:rsid w:val="006D2F0C"/>
    <w:rsid w:val="006E7C6E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E6BE9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30B6D"/>
    <w:rsid w:val="00944F59"/>
    <w:rsid w:val="00963501"/>
    <w:rsid w:val="00964A5B"/>
    <w:rsid w:val="00977473"/>
    <w:rsid w:val="00982B32"/>
    <w:rsid w:val="009A766F"/>
    <w:rsid w:val="009B7B15"/>
    <w:rsid w:val="009D1607"/>
    <w:rsid w:val="009E1B1D"/>
    <w:rsid w:val="009F1D9E"/>
    <w:rsid w:val="00A33EAE"/>
    <w:rsid w:val="00A5287B"/>
    <w:rsid w:val="00A5430A"/>
    <w:rsid w:val="00A548F6"/>
    <w:rsid w:val="00A676C3"/>
    <w:rsid w:val="00A71071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06B65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7186"/>
    <w:rsid w:val="00E46AD4"/>
    <w:rsid w:val="00E63A20"/>
    <w:rsid w:val="00E73B4F"/>
    <w:rsid w:val="00E77EDC"/>
    <w:rsid w:val="00ED2915"/>
    <w:rsid w:val="00ED505C"/>
    <w:rsid w:val="00EF73FD"/>
    <w:rsid w:val="00F02F9D"/>
    <w:rsid w:val="00F41746"/>
    <w:rsid w:val="00F5160A"/>
    <w:rsid w:val="00F54CCD"/>
    <w:rsid w:val="00F55F8E"/>
    <w:rsid w:val="00F954F2"/>
    <w:rsid w:val="00FA270F"/>
    <w:rsid w:val="00FB28A7"/>
    <w:rsid w:val="00FC5D28"/>
    <w:rsid w:val="00FC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2</cp:revision>
  <cp:lastPrinted>2014-08-14T17:30:00Z</cp:lastPrinted>
  <dcterms:created xsi:type="dcterms:W3CDTF">2014-08-28T13:48:00Z</dcterms:created>
  <dcterms:modified xsi:type="dcterms:W3CDTF">2014-08-28T13:48:00Z</dcterms:modified>
</cp:coreProperties>
</file>