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1</w:t>
      </w:r>
      <w:r w:rsidR="00E42DD2">
        <w:rPr>
          <w:rFonts w:ascii="Tahoma" w:hAnsi="Tahoma" w:cs="Tahoma"/>
          <w:b/>
          <w:sz w:val="24"/>
          <w:szCs w:val="24"/>
        </w:rPr>
        <w:t>8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E42DD2">
        <w:rPr>
          <w:rFonts w:ascii="Tahoma" w:hAnsi="Tahoma" w:cs="Tahoma"/>
          <w:b/>
          <w:sz w:val="24"/>
          <w:szCs w:val="24"/>
        </w:rPr>
        <w:t>29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2F419D">
        <w:rPr>
          <w:rFonts w:ascii="Tahoma" w:hAnsi="Tahoma" w:cs="Tahoma"/>
          <w:b/>
          <w:sz w:val="24"/>
          <w:szCs w:val="24"/>
        </w:rPr>
        <w:t>ABRIL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45741B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4C3140">
        <w:rPr>
          <w:rFonts w:ascii="Tahoma" w:hAnsi="Tahoma" w:cs="Tahoma"/>
          <w:sz w:val="24"/>
          <w:szCs w:val="24"/>
        </w:rPr>
        <w:t>o s</w:t>
      </w:r>
      <w:r w:rsidR="008762DB">
        <w:rPr>
          <w:rFonts w:ascii="Tahoma" w:hAnsi="Tahoma" w:cs="Tahoma"/>
          <w:sz w:val="24"/>
          <w:szCs w:val="24"/>
        </w:rPr>
        <w:t xml:space="preserve">ervidor </w:t>
      </w:r>
      <w:r w:rsidR="00E42DD2">
        <w:rPr>
          <w:rFonts w:ascii="Tahoma" w:hAnsi="Tahoma" w:cs="Tahoma"/>
          <w:b/>
          <w:sz w:val="24"/>
          <w:szCs w:val="24"/>
        </w:rPr>
        <w:t xml:space="preserve">MARCOS BIZERRA COSTA, </w:t>
      </w:r>
      <w:r w:rsidR="00E42DD2">
        <w:rPr>
          <w:rFonts w:ascii="Tahoma" w:hAnsi="Tahoma" w:cs="Tahoma"/>
          <w:sz w:val="24"/>
          <w:szCs w:val="24"/>
        </w:rPr>
        <w:t xml:space="preserve">Consultor Técnico-Legislativo, matrícula nº 16.764, CPF nº 693.716.951-53, como executor e </w:t>
      </w:r>
      <w:r w:rsidR="00E42DD2" w:rsidRPr="00E42DD2">
        <w:rPr>
          <w:rFonts w:ascii="Tahoma" w:hAnsi="Tahoma" w:cs="Tahoma"/>
          <w:b/>
          <w:sz w:val="24"/>
          <w:szCs w:val="24"/>
        </w:rPr>
        <w:t>MARISA PERRONE CAMPOS ROCHA</w:t>
      </w:r>
      <w:r w:rsidR="00E42DD2">
        <w:rPr>
          <w:rFonts w:ascii="Tahoma" w:hAnsi="Tahoma" w:cs="Tahoma"/>
          <w:sz w:val="24"/>
          <w:szCs w:val="24"/>
        </w:rPr>
        <w:t xml:space="preserve">, Consultora Técnico-Legislativa, matrícula nº 11.867, CPF nº 116.194.811-20, </w:t>
      </w:r>
      <w:r w:rsidR="0045741B">
        <w:rPr>
          <w:rFonts w:ascii="Tahoma" w:hAnsi="Tahoma" w:cs="Tahoma"/>
          <w:sz w:val="24"/>
          <w:szCs w:val="24"/>
        </w:rPr>
        <w:t xml:space="preserve">como executor substituto, do Acordo de Cooperação </w:t>
      </w:r>
      <w:proofErr w:type="gramStart"/>
      <w:r w:rsidR="0045741B">
        <w:rPr>
          <w:rFonts w:ascii="Tahoma" w:hAnsi="Tahoma" w:cs="Tahoma"/>
          <w:sz w:val="24"/>
          <w:szCs w:val="24"/>
        </w:rPr>
        <w:t>Técnica abaixo especificado</w:t>
      </w:r>
      <w:proofErr w:type="gramEnd"/>
      <w:r w:rsidR="0045741B">
        <w:rPr>
          <w:rFonts w:ascii="Tahoma" w:hAnsi="Tahoma" w:cs="Tahoma"/>
          <w:sz w:val="24"/>
          <w:szCs w:val="24"/>
        </w:rPr>
        <w:t>, cabendo aos designados exercer as atribuições previstas na Lei nº 8.666/1993, no Ato nº 42/1997, no Ato da Mesa Diretora nº 34/2005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1701"/>
        <w:gridCol w:w="1842"/>
      </w:tblGrid>
      <w:tr w:rsidR="004116E7" w:rsidRPr="00963501" w:rsidTr="004846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C3140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</w:t>
            </w:r>
            <w:r w:rsidR="00963501" w:rsidRPr="00963501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8464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Acordo de Cooperação Técnica</w:t>
            </w:r>
          </w:p>
        </w:tc>
      </w:tr>
      <w:tr w:rsidR="00DD530B" w:rsidRPr="00963501" w:rsidTr="00744FB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30B" w:rsidRDefault="004C3140" w:rsidP="004C3140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3140">
              <w:rPr>
                <w:rFonts w:ascii="Tahoma" w:hAnsi="Tahoma" w:cs="Tahoma"/>
                <w:b/>
                <w:sz w:val="24"/>
                <w:szCs w:val="24"/>
              </w:rPr>
              <w:t>Empresa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0F2D71">
              <w:rPr>
                <w:rFonts w:ascii="Tahoma" w:hAnsi="Tahoma" w:cs="Tahoma"/>
                <w:sz w:val="24"/>
                <w:szCs w:val="24"/>
              </w:rPr>
              <w:t>SENADO FEDERAL</w:t>
            </w:r>
          </w:p>
          <w:p w:rsidR="004C3140" w:rsidRPr="00963501" w:rsidRDefault="004C3140" w:rsidP="000F2D7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3140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0F2D71">
              <w:rPr>
                <w:rFonts w:ascii="Tahoma" w:hAnsi="Tahoma" w:cs="Tahoma"/>
                <w:sz w:val="24"/>
                <w:szCs w:val="24"/>
              </w:rPr>
              <w:t xml:space="preserve">Tornar disponível à CLDF o Sistema Informatizado de Gerenciamento de Biblioteca, do Senado Federal, possibilitando a alimentação e atualização das bases de dados bibliográficos e administrativos, com informações de sua Biblioteca, mediante utilização de equipamentos de processamento de dados de sua propriedade, ligados ao Sistema Central do </w:t>
            </w:r>
            <w:proofErr w:type="spellStart"/>
            <w:proofErr w:type="gramStart"/>
            <w:r w:rsidR="000F2D71">
              <w:rPr>
                <w:rFonts w:ascii="Tahoma" w:hAnsi="Tahoma" w:cs="Tahoma"/>
                <w:sz w:val="24"/>
                <w:szCs w:val="24"/>
              </w:rPr>
              <w:t>Prodasen</w:t>
            </w:r>
            <w:proofErr w:type="spellEnd"/>
            <w:proofErr w:type="gramEnd"/>
            <w:r w:rsidR="000F2D7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0B" w:rsidRPr="00963501" w:rsidRDefault="000F2D71" w:rsidP="00744FB6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1010</w:t>
            </w:r>
            <w:r w:rsidR="004C3140">
              <w:rPr>
                <w:rFonts w:ascii="Tahoma" w:hAnsi="Tahoma" w:cs="Tahoma"/>
                <w:sz w:val="24"/>
                <w:szCs w:val="24"/>
              </w:rPr>
              <w:t>/201</w:t>
            </w:r>
            <w:r w:rsidR="0045741B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0B" w:rsidRPr="00963501" w:rsidRDefault="00F03467" w:rsidP="00744FB6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="000F2D71">
              <w:rPr>
                <w:rFonts w:ascii="Tahoma" w:hAnsi="Tahoma" w:cs="Tahoma"/>
                <w:sz w:val="24"/>
                <w:szCs w:val="24"/>
              </w:rPr>
              <w:t>3</w:t>
            </w:r>
            <w:r w:rsidR="004C3140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</w:tr>
      <w:tr w:rsidR="00DD530B" w:rsidRPr="00963501" w:rsidTr="0048464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0B" w:rsidRPr="00963501" w:rsidRDefault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0B" w:rsidRPr="00963501" w:rsidRDefault="00DD530B" w:rsidP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0B" w:rsidRPr="00963501" w:rsidRDefault="00DD530B" w:rsidP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D530B" w:rsidRDefault="00DD530B" w:rsidP="000B0744">
      <w:pPr>
        <w:ind w:firstLine="851"/>
        <w:rPr>
          <w:rFonts w:ascii="Tahoma" w:hAnsi="Tahoma" w:cs="Tahoma"/>
          <w:b/>
          <w:sz w:val="24"/>
          <w:szCs w:val="24"/>
        </w:rPr>
      </w:pPr>
    </w:p>
    <w:p w:rsidR="008762DB" w:rsidRPr="00963501" w:rsidRDefault="008762DB" w:rsidP="008762DB">
      <w:pPr>
        <w:spacing w:after="240"/>
        <w:ind w:firstLine="851"/>
        <w:rPr>
          <w:rFonts w:ascii="Tahoma" w:hAnsi="Tahoma" w:cs="Tahoma"/>
          <w:sz w:val="24"/>
          <w:szCs w:val="24"/>
        </w:rPr>
      </w:pPr>
      <w:r w:rsidRPr="008762DB">
        <w:rPr>
          <w:rFonts w:ascii="Tahoma" w:hAnsi="Tahoma" w:cs="Tahoma"/>
          <w:b/>
          <w:sz w:val="24"/>
          <w:szCs w:val="24"/>
        </w:rPr>
        <w:t xml:space="preserve">Art. </w:t>
      </w:r>
      <w:r w:rsidR="0045741B">
        <w:rPr>
          <w:rFonts w:ascii="Tahoma" w:hAnsi="Tahoma" w:cs="Tahoma"/>
          <w:b/>
          <w:sz w:val="24"/>
          <w:szCs w:val="24"/>
        </w:rPr>
        <w:t>2</w:t>
      </w:r>
      <w:r w:rsidRPr="008762DB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Este Ato entra em vigor na data de sua publicação.</w:t>
      </w:r>
    </w:p>
    <w:p w:rsidR="00C025C8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45741B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4F327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F03467" w:rsidRPr="00963501" w:rsidRDefault="00F03467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0F2D71">
        <w:rPr>
          <w:rFonts w:ascii="Tahoma" w:hAnsi="Tahoma" w:cs="Tahoma"/>
          <w:color w:val="FF0000"/>
        </w:rPr>
        <w:t>30</w:t>
      </w:r>
      <w:r>
        <w:rPr>
          <w:rFonts w:ascii="Tahoma" w:hAnsi="Tahoma" w:cs="Tahoma"/>
          <w:color w:val="FF0000"/>
        </w:rPr>
        <w:t>/</w:t>
      </w:r>
      <w:r w:rsidR="000F2D71">
        <w:rPr>
          <w:rFonts w:ascii="Tahoma" w:hAnsi="Tahoma" w:cs="Tahoma"/>
          <w:color w:val="FF0000"/>
        </w:rPr>
        <w:t>4</w:t>
      </w:r>
      <w:r>
        <w:rPr>
          <w:rFonts w:ascii="Tahoma" w:hAnsi="Tahoma" w:cs="Tahoma"/>
          <w:color w:val="FF0000"/>
        </w:rPr>
        <w:t>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BA2" w:rsidRDefault="00F40BA2" w:rsidP="00BB4A02">
      <w:r>
        <w:separator/>
      </w:r>
    </w:p>
  </w:endnote>
  <w:endnote w:type="continuationSeparator" w:id="0">
    <w:p w:rsidR="00F40BA2" w:rsidRDefault="00F40BA2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A2" w:rsidRDefault="00A4232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F40BA2" w:rsidRPr="001F4CC7" w:rsidRDefault="00F40BA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F40BA2" w:rsidRPr="001F4CC7" w:rsidRDefault="00F40BA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BA2" w:rsidRDefault="00F40BA2" w:rsidP="00BB4A02">
      <w:r>
        <w:separator/>
      </w:r>
    </w:p>
  </w:footnote>
  <w:footnote w:type="continuationSeparator" w:id="0">
    <w:p w:rsidR="00F40BA2" w:rsidRDefault="00F40BA2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A2" w:rsidRDefault="00A423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A2" w:rsidRDefault="00A4232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F40BA2" w:rsidRPr="001376AE" w:rsidRDefault="00F40BA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F40BA2" w:rsidRDefault="00744FB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40BA2" w:rsidRDefault="00F40BA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F40BA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A2" w:rsidRDefault="00A423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9502F"/>
    <w:rsid w:val="000A4CD3"/>
    <w:rsid w:val="000B0744"/>
    <w:rsid w:val="000F2D71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03FC"/>
    <w:rsid w:val="00235B4F"/>
    <w:rsid w:val="002426E0"/>
    <w:rsid w:val="0027261F"/>
    <w:rsid w:val="00275CD7"/>
    <w:rsid w:val="002A1E1A"/>
    <w:rsid w:val="002A792E"/>
    <w:rsid w:val="002B4DDA"/>
    <w:rsid w:val="002F419D"/>
    <w:rsid w:val="00306443"/>
    <w:rsid w:val="003125EC"/>
    <w:rsid w:val="0031784E"/>
    <w:rsid w:val="00334EE7"/>
    <w:rsid w:val="00340021"/>
    <w:rsid w:val="003A2310"/>
    <w:rsid w:val="003A60A3"/>
    <w:rsid w:val="003C2E7D"/>
    <w:rsid w:val="003C3CE1"/>
    <w:rsid w:val="003D72BD"/>
    <w:rsid w:val="004116E7"/>
    <w:rsid w:val="0042465F"/>
    <w:rsid w:val="0045741B"/>
    <w:rsid w:val="00481C25"/>
    <w:rsid w:val="00484645"/>
    <w:rsid w:val="004C08D8"/>
    <w:rsid w:val="004C17B1"/>
    <w:rsid w:val="004C2599"/>
    <w:rsid w:val="004C3140"/>
    <w:rsid w:val="004E5A90"/>
    <w:rsid w:val="004F3277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3BA5"/>
    <w:rsid w:val="006B60CF"/>
    <w:rsid w:val="006B6E13"/>
    <w:rsid w:val="006D2F0C"/>
    <w:rsid w:val="00740DA4"/>
    <w:rsid w:val="00744FB6"/>
    <w:rsid w:val="0074586F"/>
    <w:rsid w:val="007720BD"/>
    <w:rsid w:val="007751F0"/>
    <w:rsid w:val="00781F97"/>
    <w:rsid w:val="00786BDF"/>
    <w:rsid w:val="007971F7"/>
    <w:rsid w:val="007A2326"/>
    <w:rsid w:val="007B1F2C"/>
    <w:rsid w:val="007B55DE"/>
    <w:rsid w:val="007C4868"/>
    <w:rsid w:val="007D5405"/>
    <w:rsid w:val="007F1723"/>
    <w:rsid w:val="00801727"/>
    <w:rsid w:val="00805974"/>
    <w:rsid w:val="008230B8"/>
    <w:rsid w:val="00870E05"/>
    <w:rsid w:val="00875E11"/>
    <w:rsid w:val="008762DB"/>
    <w:rsid w:val="00877E34"/>
    <w:rsid w:val="0088768F"/>
    <w:rsid w:val="008C4330"/>
    <w:rsid w:val="008D6067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7C4B"/>
    <w:rsid w:val="00A33EAE"/>
    <w:rsid w:val="00A42326"/>
    <w:rsid w:val="00A5287B"/>
    <w:rsid w:val="00A5430A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30B"/>
    <w:rsid w:val="00DD5FF2"/>
    <w:rsid w:val="00DD60EF"/>
    <w:rsid w:val="00DD6BF2"/>
    <w:rsid w:val="00E10A4E"/>
    <w:rsid w:val="00E42DD2"/>
    <w:rsid w:val="00E46AD4"/>
    <w:rsid w:val="00E51C19"/>
    <w:rsid w:val="00E73B4F"/>
    <w:rsid w:val="00E77EDC"/>
    <w:rsid w:val="00ED2915"/>
    <w:rsid w:val="00ED505C"/>
    <w:rsid w:val="00F03467"/>
    <w:rsid w:val="00F40BA2"/>
    <w:rsid w:val="00F41746"/>
    <w:rsid w:val="00F511F8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6</cp:revision>
  <cp:lastPrinted>2014-03-12T21:05:00Z</cp:lastPrinted>
  <dcterms:created xsi:type="dcterms:W3CDTF">2014-05-05T17:40:00Z</dcterms:created>
  <dcterms:modified xsi:type="dcterms:W3CDTF">2014-07-11T20:04:00Z</dcterms:modified>
</cp:coreProperties>
</file>