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77" w:rsidRDefault="004F3277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</w:p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1</w:t>
      </w:r>
      <w:r w:rsidR="000F7DE0">
        <w:rPr>
          <w:rFonts w:ascii="Tahoma" w:hAnsi="Tahoma" w:cs="Tahoma"/>
          <w:b/>
          <w:sz w:val="24"/>
          <w:szCs w:val="24"/>
        </w:rPr>
        <w:t>3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68157D">
        <w:rPr>
          <w:rFonts w:ascii="Tahoma" w:hAnsi="Tahoma" w:cs="Tahoma"/>
          <w:b/>
          <w:sz w:val="24"/>
          <w:szCs w:val="24"/>
        </w:rPr>
        <w:t>2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156E26">
        <w:rPr>
          <w:rFonts w:ascii="Tahoma" w:hAnsi="Tahoma" w:cs="Tahoma"/>
          <w:b/>
          <w:sz w:val="24"/>
          <w:szCs w:val="24"/>
        </w:rPr>
        <w:t>ABRIL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693227" w:rsidRDefault="00875E11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156E26">
        <w:rPr>
          <w:rFonts w:ascii="Tahoma" w:hAnsi="Tahoma" w:cs="Tahoma"/>
          <w:sz w:val="24"/>
          <w:szCs w:val="24"/>
        </w:rPr>
        <w:t xml:space="preserve">bem como o disposto no art. 51 da Lei nº 8.666/1993 e as justificativas apresentadas nos autos do processo nº 001.001144/2013,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156E26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156E26">
        <w:rPr>
          <w:rFonts w:ascii="Tahoma" w:hAnsi="Tahoma" w:cs="Tahoma"/>
          <w:sz w:val="24"/>
          <w:szCs w:val="24"/>
        </w:rPr>
        <w:t>Constituir Comissão Especial de Licitação destinada a processar e julgar os procedimentos relativos ao processo de licitação na modalidade concorrência pública, objetivando a contratação de empresa para a prestação de serviços de gerenciamento técnico-operacional e de gestão administrativa da TV Legislativa, com a produção, sob demanda, de programas audiovisuais de toda a grade de programação (24 horas) e novas mídias, com portal e sítio de internet da TV Legislativa, inclusive do canal público da Câmara Legislativa do Distrito Federal, voltados à divulgação dos atos do Poder Legislativo do Distrito Federal.</w:t>
      </w:r>
    </w:p>
    <w:p w:rsidR="000B0744" w:rsidRDefault="00156E26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156E26">
        <w:rPr>
          <w:rFonts w:ascii="Tahoma" w:hAnsi="Tahoma" w:cs="Tahoma"/>
          <w:b/>
          <w:sz w:val="24"/>
          <w:szCs w:val="24"/>
        </w:rPr>
        <w:t>Art. 2º</w:t>
      </w:r>
      <w:r>
        <w:rPr>
          <w:rFonts w:ascii="Tahoma" w:hAnsi="Tahoma" w:cs="Tahoma"/>
          <w:sz w:val="24"/>
          <w:szCs w:val="24"/>
        </w:rPr>
        <w:t xml:space="preserve"> A Comissão Especial de Licitação objeto deste Ato é composta pelos seguintes servidores:</w:t>
      </w:r>
    </w:p>
    <w:p w:rsidR="00156E26" w:rsidRPr="00963501" w:rsidRDefault="00156E26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751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1842"/>
        <w:gridCol w:w="1560"/>
      </w:tblGrid>
      <w:tr w:rsidR="004116E7" w:rsidRPr="00963501" w:rsidTr="00156E2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156E26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156E2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156E26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CARGO</w:t>
            </w:r>
          </w:p>
        </w:tc>
      </w:tr>
      <w:tr w:rsidR="00DD530B" w:rsidRPr="00963501" w:rsidTr="00156E2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30B" w:rsidRPr="00963501" w:rsidRDefault="00156E26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Flávia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Júnia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Lorde de Souza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20.064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30B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Presidente</w:t>
            </w:r>
          </w:p>
        </w:tc>
      </w:tr>
      <w:tr w:rsidR="00156E26" w:rsidRPr="00963501" w:rsidTr="00156E2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26" w:rsidRPr="00963501" w:rsidRDefault="00156E26" w:rsidP="007D7BE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Bruno Sodré de Moraes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26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16.804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26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Membro</w:t>
            </w:r>
          </w:p>
        </w:tc>
      </w:tr>
      <w:tr w:rsidR="00156E26" w:rsidRPr="00963501" w:rsidTr="00156E2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26" w:rsidRPr="00963501" w:rsidRDefault="00156E26" w:rsidP="007D7BE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Daniel Luchine Ishihara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26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18.340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26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Membro</w:t>
            </w:r>
          </w:p>
        </w:tc>
      </w:tr>
      <w:tr w:rsidR="00156E26" w:rsidRPr="00963501" w:rsidTr="00156E2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26" w:rsidRPr="00963501" w:rsidRDefault="00156E26" w:rsidP="007D7BE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José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Coury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Neto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26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11.632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26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Membro</w:t>
            </w:r>
          </w:p>
        </w:tc>
      </w:tr>
      <w:tr w:rsidR="00156E26" w:rsidRPr="00963501" w:rsidTr="00156E26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26" w:rsidRPr="00963501" w:rsidRDefault="00156E26" w:rsidP="007D7BE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José Expedito Rodrigues Ferreira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26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12.000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E26" w:rsidRPr="00963501" w:rsidRDefault="00156E26" w:rsidP="00156E2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Membro</w:t>
            </w:r>
          </w:p>
        </w:tc>
      </w:tr>
    </w:tbl>
    <w:p w:rsidR="00DD530B" w:rsidRDefault="00DD530B" w:rsidP="000B0744">
      <w:pPr>
        <w:ind w:firstLine="851"/>
        <w:rPr>
          <w:rFonts w:ascii="Tahoma" w:hAnsi="Tahoma" w:cs="Tahoma"/>
          <w:b/>
          <w:sz w:val="24"/>
          <w:szCs w:val="24"/>
        </w:rPr>
      </w:pPr>
    </w:p>
    <w:p w:rsidR="004116E7" w:rsidRPr="00963501" w:rsidRDefault="000B0744" w:rsidP="000B0744">
      <w:pPr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56E26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C025C8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56E26">
        <w:rPr>
          <w:rFonts w:ascii="Tahoma" w:hAnsi="Tahoma" w:cs="Tahoma"/>
          <w:b/>
          <w:sz w:val="24"/>
          <w:szCs w:val="24"/>
        </w:rPr>
        <w:t>4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4F3277">
        <w:rPr>
          <w:rFonts w:ascii="Tahoma" w:hAnsi="Tahoma" w:cs="Tahoma"/>
          <w:sz w:val="24"/>
          <w:szCs w:val="24"/>
        </w:rPr>
        <w:t>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93227" w:rsidRPr="00963501" w:rsidRDefault="00693227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156E26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/4/2014.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277" w:rsidRDefault="004F3277" w:rsidP="00BB4A02">
      <w:r>
        <w:separator/>
      </w:r>
    </w:p>
  </w:endnote>
  <w:endnote w:type="continuationSeparator" w:id="0">
    <w:p w:rsidR="004F3277" w:rsidRDefault="004F327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17252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F3277" w:rsidRPr="001F4CC7" w:rsidRDefault="004F327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4F3277" w:rsidRPr="001F4CC7" w:rsidRDefault="004F327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277" w:rsidRDefault="004F3277" w:rsidP="00BB4A02">
      <w:r>
        <w:separator/>
      </w:r>
    </w:p>
  </w:footnote>
  <w:footnote w:type="continuationSeparator" w:id="0">
    <w:p w:rsidR="004F3277" w:rsidRDefault="004F327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1725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17252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F3277" w:rsidRPr="001376AE" w:rsidRDefault="004F327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F3277" w:rsidRDefault="00226EF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F3277" w:rsidRDefault="004F327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F32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17252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0F7DE0"/>
    <w:rsid w:val="001376AE"/>
    <w:rsid w:val="00156E26"/>
    <w:rsid w:val="00160D9D"/>
    <w:rsid w:val="0016655B"/>
    <w:rsid w:val="00172528"/>
    <w:rsid w:val="00184FEE"/>
    <w:rsid w:val="00190289"/>
    <w:rsid w:val="001A0B1F"/>
    <w:rsid w:val="001A2E57"/>
    <w:rsid w:val="001F4CC7"/>
    <w:rsid w:val="00217CC7"/>
    <w:rsid w:val="00226EF2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A2310"/>
    <w:rsid w:val="003A2ED5"/>
    <w:rsid w:val="003A60A3"/>
    <w:rsid w:val="003C2E7D"/>
    <w:rsid w:val="003C3CE1"/>
    <w:rsid w:val="003D72BD"/>
    <w:rsid w:val="004116E7"/>
    <w:rsid w:val="00481C25"/>
    <w:rsid w:val="004C08D8"/>
    <w:rsid w:val="004C17B1"/>
    <w:rsid w:val="004C2599"/>
    <w:rsid w:val="004E5A90"/>
    <w:rsid w:val="004F3277"/>
    <w:rsid w:val="00500448"/>
    <w:rsid w:val="005071D6"/>
    <w:rsid w:val="0054263C"/>
    <w:rsid w:val="005757A4"/>
    <w:rsid w:val="005B3A73"/>
    <w:rsid w:val="005F303C"/>
    <w:rsid w:val="005F3972"/>
    <w:rsid w:val="0063781B"/>
    <w:rsid w:val="00654630"/>
    <w:rsid w:val="006570B0"/>
    <w:rsid w:val="0066046F"/>
    <w:rsid w:val="00673E27"/>
    <w:rsid w:val="0068157D"/>
    <w:rsid w:val="006932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F1D9E"/>
    <w:rsid w:val="00A17C4B"/>
    <w:rsid w:val="00A33EAE"/>
    <w:rsid w:val="00A5287B"/>
    <w:rsid w:val="00A5430A"/>
    <w:rsid w:val="00A676C3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DF7A2E"/>
    <w:rsid w:val="00E10A4E"/>
    <w:rsid w:val="00E46AD4"/>
    <w:rsid w:val="00E73B4F"/>
    <w:rsid w:val="00E77EDC"/>
    <w:rsid w:val="00ED2915"/>
    <w:rsid w:val="00ED505C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12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5</cp:revision>
  <cp:lastPrinted>2014-03-12T21:05:00Z</cp:lastPrinted>
  <dcterms:created xsi:type="dcterms:W3CDTF">2014-05-05T16:26:00Z</dcterms:created>
  <dcterms:modified xsi:type="dcterms:W3CDTF">2014-07-11T19:48:00Z</dcterms:modified>
</cp:coreProperties>
</file>