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E2EB" w14:textId="77777777" w:rsidR="00D850F8" w:rsidRPr="00296FEA" w:rsidRDefault="00D850F8" w:rsidP="00D850F8">
      <w:pPr>
        <w:jc w:val="both"/>
      </w:pPr>
      <w:r w:rsidRPr="00296FEA">
        <w:t> </w:t>
      </w:r>
    </w:p>
    <w:p w14:paraId="094E2D89" w14:textId="77777777" w:rsidR="00D850F8" w:rsidRPr="00296FEA" w:rsidRDefault="00D850F8" w:rsidP="00D850F8">
      <w:pPr>
        <w:jc w:val="center"/>
      </w:pPr>
      <w:r w:rsidRPr="00296FEA">
        <w:rPr>
          <w:b/>
          <w:bCs/>
        </w:rPr>
        <w:t>ATA DA </w:t>
      </w:r>
      <w:r>
        <w:rPr>
          <w:b/>
          <w:bCs/>
        </w:rPr>
        <w:t>1</w:t>
      </w:r>
      <w:r w:rsidRPr="00296FEA">
        <w:rPr>
          <w:b/>
          <w:bCs/>
        </w:rPr>
        <w:t xml:space="preserve">ª AUDIÊNCIA PÚBLICA DA COMISSÃO DE SAÚDE DA </w:t>
      </w:r>
      <w:r>
        <w:rPr>
          <w:b/>
          <w:bCs/>
        </w:rPr>
        <w:t>4</w:t>
      </w:r>
      <w:r w:rsidRPr="00296FEA">
        <w:rPr>
          <w:b/>
          <w:bCs/>
        </w:rPr>
        <w:t>ª SESSÃO LEGISLATIVA DA 9ª LEGISLATURA DA CÂMARA LEGISLATIVA DO DISTRITO FEDERAL</w:t>
      </w:r>
    </w:p>
    <w:p w14:paraId="11461F37" w14:textId="781AC596" w:rsidR="00D850F8" w:rsidRPr="00063D78" w:rsidRDefault="00D850F8" w:rsidP="630F7465">
      <w:pPr>
        <w:spacing w:line="276" w:lineRule="auto"/>
        <w:jc w:val="both"/>
        <w:rPr>
          <w:rFonts w:eastAsiaTheme="minorEastAsia"/>
          <w:color w:val="000000" w:themeColor="text1"/>
        </w:rPr>
      </w:pPr>
      <w:r>
        <w:t xml:space="preserve">Aos vinte e seis dias do mês de março de dois mil e vinte e seis, às 9 horas e cinquenta e um minutos, na Sala de Reunião das Comissões </w:t>
      </w:r>
      <w:r w:rsidR="00837B21">
        <w:t>Pedro de Souza Duarte</w:t>
      </w:r>
      <w:r>
        <w:t>, a Presidente da Comissão de Saúde, Deputada Dayse </w:t>
      </w:r>
      <w:proofErr w:type="spellStart"/>
      <w:r>
        <w:t>Amarilio</w:t>
      </w:r>
      <w:proofErr w:type="spellEnd"/>
      <w:r>
        <w:t xml:space="preserve">, declarou aberta a Audiência Pública destinada à apresentação, por parte do Instituto de Gestão Estratégica </w:t>
      </w:r>
      <w:r w:rsidR="002D5293">
        <w:t xml:space="preserve">de Saúde </w:t>
      </w:r>
      <w:r>
        <w:t xml:space="preserve">do Distrito Federal (IGESDF), do </w:t>
      </w:r>
      <w:r w:rsidR="581DA277">
        <w:t>R</w:t>
      </w:r>
      <w:r>
        <w:t xml:space="preserve">elatório </w:t>
      </w:r>
      <w:r w:rsidR="16FFBB39">
        <w:t>D</w:t>
      </w:r>
      <w:r>
        <w:t xml:space="preserve">etalhado de </w:t>
      </w:r>
      <w:r w:rsidR="42D925A7">
        <w:t>A</w:t>
      </w:r>
      <w:r>
        <w:t>tividades referente ao terceiro quadrimestre de 2025, em cumprimento ao disposto no artigo 36, §5º, da Lei Complementar nº 141/2012. A Presidente convidou para compor a mesa o Diretor-Presidente do IGESDF, Sr. Cl</w:t>
      </w:r>
      <w:r w:rsidR="002D5293">
        <w:t>e</w:t>
      </w:r>
      <w:r>
        <w:t xml:space="preserve">ber Monteiro Fernandes; o Promotor de Justiça do Ministério Público do Distrito Federal e Territórios, Dr. Marcelo da Silva </w:t>
      </w:r>
      <w:proofErr w:type="spellStart"/>
      <w:r>
        <w:t>Barenco</w:t>
      </w:r>
      <w:proofErr w:type="spellEnd"/>
      <w:r>
        <w:t xml:space="preserve">, representando a </w:t>
      </w:r>
      <w:proofErr w:type="spellStart"/>
      <w:r>
        <w:t>Prosus</w:t>
      </w:r>
      <w:proofErr w:type="spellEnd"/>
      <w:r>
        <w:t xml:space="preserve">; e o Presidente do Conselho de Saúde do Distrito Federal, Sr. Domingos de Brito Filho. Após as saudações, a Deputada registrou a presença de diversas autoridades e representantes das unidades administradas pelo Instituto. Em suas considerações iniciais, a deputada ressaltou a importância da presença do Secretário de Saúde nas prestações de contas para mitigar questões contratuais e de repasses que frequentemente surgem durante os debates. </w:t>
      </w:r>
      <w:r w:rsidR="008C2FCE">
        <w:t>Sr</w:t>
      </w:r>
      <w:r>
        <w:t>. Cl</w:t>
      </w:r>
      <w:r w:rsidR="002D5293">
        <w:t>e</w:t>
      </w:r>
      <w:r>
        <w:t xml:space="preserve">ber colocou a equipe do Instituto à disposição para o detalhamento das contas, enfatizando que o objetivo primordial é a entrega de resultados ao cidadão. Informou, ainda, que um relatório complementar com dados fechados de dezembro de 2025 foi trazido para a audiência e que todo o conteúdo estaria disponível para consulta pública na internet. Dr. Marcelo </w:t>
      </w:r>
      <w:proofErr w:type="spellStart"/>
      <w:r>
        <w:t>Barenco</w:t>
      </w:r>
      <w:proofErr w:type="spellEnd"/>
      <w:r>
        <w:t xml:space="preserve">, da </w:t>
      </w:r>
      <w:proofErr w:type="spellStart"/>
      <w:r>
        <w:t>Prosus</w:t>
      </w:r>
      <w:proofErr w:type="spellEnd"/>
      <w:r>
        <w:t xml:space="preserve">, elogiou a continuidade e a eficácia desse instrumento de controle social desde 2019, observando que, mesmo diante das dificuldades estruturais da saúde, o evento sempre gera resultados positivos. Em resposta, a Deputada Dayse </w:t>
      </w:r>
      <w:proofErr w:type="spellStart"/>
      <w:r>
        <w:t>Amarilio</w:t>
      </w:r>
      <w:proofErr w:type="spellEnd"/>
      <w:r>
        <w:t xml:space="preserve"> reconheceu a evolução na transparência dos relatórios apresentados nos últimos anos pelo IGES</w:t>
      </w:r>
      <w:r w:rsidR="008C2FCE">
        <w:t>DF</w:t>
      </w:r>
      <w:r>
        <w:t xml:space="preserve">. Por fim, o Presidente do Conselho de Saúde, Sr. Domingos, reiterou a importância da audiência para que a sociedade civil, que detém 50% da representação no Conselho, possa compreender os números que sustentam o atendimento cotidiano. </w:t>
      </w:r>
      <w:r w:rsidR="008C2FCE">
        <w:t xml:space="preserve">Sr. </w:t>
      </w:r>
      <w:r>
        <w:t xml:space="preserve">Domingos salientou que a publicidade desses dados é essencial para que a população reconheça o papel do Instituto dentro do sistema público de saúde. Antes de dar início às apresentações técnicas, a Deputada Dayse </w:t>
      </w:r>
      <w:proofErr w:type="spellStart"/>
      <w:r>
        <w:t>Amarilio</w:t>
      </w:r>
      <w:proofErr w:type="spellEnd"/>
      <w:r>
        <w:t xml:space="preserve"> questionou o Dr. Cl</w:t>
      </w:r>
      <w:r w:rsidR="008C2FCE">
        <w:t>e</w:t>
      </w:r>
      <w:r>
        <w:t>ber Fernandes sobre a reavaliação da metodologia das metas e a previsão para a assinatura do novo contrato de gestão entre a Secretaria de Saúde (SES) e o IGES</w:t>
      </w:r>
      <w:r w:rsidR="008C2FCE">
        <w:t>DF</w:t>
      </w:r>
      <w:r>
        <w:t xml:space="preserve">. A parlamentar relembrou que metas atuais, como o tempo de espera de seis horas para pacientes classificados como "verde" nas </w:t>
      </w:r>
      <w:proofErr w:type="spellStart"/>
      <w:r>
        <w:t>UPAs</w:t>
      </w:r>
      <w:proofErr w:type="spellEnd"/>
      <w:r>
        <w:t>, estão fora de parâmetros nacionais e internacionais. Dr. Cl</w:t>
      </w:r>
      <w:r w:rsidR="001B64AA">
        <w:t>e</w:t>
      </w:r>
      <w:r>
        <w:t xml:space="preserve">ber informou que o contrato revisado </w:t>
      </w:r>
      <w:r>
        <w:lastRenderedPageBreak/>
        <w:t xml:space="preserve">já passou pela Procuradoria e retornou para a assessoria jurídica da SES, aguardando assinatura. Complementando a explicação, Túlio Araújo, Gerente Geral de Planejamento, esclareceu que uma decisão recente do Tribunal de Contas do Distrito Federal (TCDF), datada de fevereiro de 2026, determinou a assinatura de um novo termo aditivo no prazo de 30 dias para implementar diretrizes de revisão de metas. Ele explicou que, enquanto a discussão sobre o novo instrumento contratual definitivo não avança, a gestão optou por esse novo aditivo, que será o 73º. A deputada manifestou desânimo com a sucessão de termos aditivos em vez de um contrato definitivo, ressaltando que as metas precisam ser pactuadas com base na capacidade instalada e na necessidade epidemiológica do DF, e não de forma arbitrária. </w:t>
      </w:r>
      <w:r w:rsidR="009E386D">
        <w:t>S</w:t>
      </w:r>
      <w:r>
        <w:t xml:space="preserve">r. Domingos demonstrou preocupação, alertando para os riscos jurídicos da continuidade de pagamentos via verba indenizatória. A discussão seguiu para a saúde financeira do Instituto. A Deputada questionou se houve suplementação orçamentária no final de 2025, relatando ter identificado dificuldades na SES, como o cancelamento de programas de trabalho para pagar verbas trabalhistas e a paralisação de obras e compra de insumos básicos por falta de recursos da fonte 100. </w:t>
      </w:r>
      <w:r w:rsidR="00664A69">
        <w:t>S</w:t>
      </w:r>
      <w:r>
        <w:t>r. Cl</w:t>
      </w:r>
      <w:r w:rsidR="00664A69">
        <w:t>e</w:t>
      </w:r>
      <w:r>
        <w:t xml:space="preserve">ber confirmou que o IGES encerrou o ano de 2025 com um déficit aproximado de 150 milhões de reais, mas revelou que a situação foi equilibrada no início de 2026. Segundo o diretor, após o TCDF reverter uma decisão anterior que suprimia valores do Instituto, a Secretaria de Economia realizou a recomposição orçamentária necessária. Afirmou, ainda, que o orçamento atual está normalizado, mas destacou que já encaminhou à SES a previsão para o próximo ano, prevendo incrementos decorrentes de acordos coletivos e da operação das novas </w:t>
      </w:r>
      <w:proofErr w:type="spellStart"/>
      <w:r>
        <w:t>UPAs</w:t>
      </w:r>
      <w:proofErr w:type="spellEnd"/>
      <w:r>
        <w:t xml:space="preserve">. Após esses esclarecimentos, a deputada deu por encerrada a fase de questionamentos preliminares e passou a palavra para Bárbara Lira, Superintendente de Logística de Insumos. Bárbara detalhou os avanços do IGESDF na gestão da cadeia de suprimentos nos últimos três anos. Destacou a transição bem-sucedida de contratos convencionais para Atas de Registro de Preços, que já alcançou 21% de adesão, resultando em economia de escala, maior previsibilidade de entregas e redução de custos. Ela informou que o planejamento atual já contempla o volume de insumos necessários para as novas </w:t>
      </w:r>
      <w:proofErr w:type="spellStart"/>
      <w:r>
        <w:t>UPAs</w:t>
      </w:r>
      <w:proofErr w:type="spellEnd"/>
      <w:r>
        <w:t xml:space="preserve">, visando evitar aditivos futuros. Um ponto de destaque na fala da superintendente foi a apresentação de uma Prova de Conceito (POC) de um dispensário eletrônico instalado na UPA de Ceilândia I. Trata-se de um armário automatizado com controle por biometria e câmeras, que permite à enfermagem retirar apenas o medicamento prescrito, garantindo a rastreabilidade total e eliminando o sistema de "cautela" (estoque sem controle rígido). Bárbara explicou que, embora o custo de aquisição seja de aproximadamente 300 mil reais por equipamento, o modelo de aluguel (cerca de 14 mil reais mensais) é uma alternativa para manter a tecnologia sempre atualizada. No campo da eficiência operacional, Bárbara apresentou dados monitorados via </w:t>
      </w:r>
      <w:r w:rsidRPr="630F7465">
        <w:rPr>
          <w:i/>
          <w:iCs/>
        </w:rPr>
        <w:t xml:space="preserve">Business </w:t>
      </w:r>
      <w:proofErr w:type="spellStart"/>
      <w:r w:rsidRPr="630F7465">
        <w:rPr>
          <w:i/>
          <w:iCs/>
        </w:rPr>
        <w:t>Intelligence</w:t>
      </w:r>
      <w:proofErr w:type="spellEnd"/>
      <w:r>
        <w:t xml:space="preserve"> (BI), revelando um </w:t>
      </w:r>
      <w:r w:rsidRPr="630F7465">
        <w:rPr>
          <w:i/>
          <w:iCs/>
        </w:rPr>
        <w:t>lead time</w:t>
      </w:r>
      <w:r>
        <w:t xml:space="preserve"> de contratação </w:t>
      </w:r>
      <w:r>
        <w:lastRenderedPageBreak/>
        <w:t xml:space="preserve">entre 48 e 60 dias. Ela ressaltou a implementação da verticalização e </w:t>
      </w:r>
      <w:proofErr w:type="spellStart"/>
      <w:r>
        <w:t>unitarização</w:t>
      </w:r>
      <w:proofErr w:type="spellEnd"/>
      <w:r>
        <w:t xml:space="preserve"> de 100% dos itens destinados às </w:t>
      </w:r>
      <w:proofErr w:type="spellStart"/>
      <w:r>
        <w:t>UPAs</w:t>
      </w:r>
      <w:proofErr w:type="spellEnd"/>
      <w:r>
        <w:t xml:space="preserve">, o que permitiu reduzir o estoque nas unidades de 40 para 15 dias de consumo. Essa estratégia gerou uma redução de 20% nos estoques parados, representando uma economia de 18 milhões de reais entre 2024 e 2025. Sobre os empréstimos entre o IGES e a SES, informou um saldo de 480 mil reais (menos de 1% do estoque total), reforçando que todos os itens são rastreados pelo sistema MV, embora tenha admitido que a falta de integração com o sistema da SES dificulta a compensação automatizada. Dr. Marcelo </w:t>
      </w:r>
      <w:proofErr w:type="spellStart"/>
      <w:r>
        <w:t>Barenco</w:t>
      </w:r>
      <w:proofErr w:type="spellEnd"/>
      <w:r>
        <w:t xml:space="preserve">, da </w:t>
      </w:r>
      <w:proofErr w:type="spellStart"/>
      <w:r>
        <w:t>Prosus</w:t>
      </w:r>
      <w:proofErr w:type="spellEnd"/>
      <w:r>
        <w:t xml:space="preserve">, elogiou a gestão da Bárbara, afirmando que a área de insumos foi a que mais evoluiu no Instituto em curto prazo. Ele comparou a estrutura do Centro de Distribuição do IGES </w:t>
      </w:r>
      <w:r w:rsidR="3927FD38">
        <w:t>com a</w:t>
      </w:r>
      <w:r>
        <w:t xml:space="preserve"> situação precária da SES, onde ainda se observa estocagem direta no chão. </w:t>
      </w:r>
      <w:proofErr w:type="spellStart"/>
      <w:r>
        <w:t>Barenco</w:t>
      </w:r>
      <w:proofErr w:type="spellEnd"/>
      <w:r>
        <w:t xml:space="preserve"> revelou que as reclamações na Ouvidoria do MPDFT sobre falta de insumos no IGES são praticamente inexistentes hoje, enquanto na SES o cenário é crítico. Ele aproveitou para informar que o MPDFT está trabalhando na inclusão de dados de medicamentos no Mapa Social para dar transparência às filas e estoques da rede pública. A Deputada Dayse </w:t>
      </w:r>
      <w:proofErr w:type="spellStart"/>
      <w:r>
        <w:t>Amarilio</w:t>
      </w:r>
      <w:proofErr w:type="spellEnd"/>
      <w:r>
        <w:t xml:space="preserve"> reforçou a crítica à precarização da "área meio" da Secretaria de Saúde, citando a falta de equipamentos básicos no Parque de Apoio e a situação de adoecimento dos servidores da carreira GAPS. Ela solicitou que Bárbara formalizasse um levantamento dos investimentos feitos em tecnologia e logística para servir de base a um estudo sobre o retorno financeiro dessas melhorias, visando contrapor propostas de terceirização logística na SES. O </w:t>
      </w:r>
      <w:r w:rsidR="002A5D5F">
        <w:t>Presidente</w:t>
      </w:r>
      <w:r>
        <w:t xml:space="preserve"> Domingos de Brito questionou por que a experiência exitosa do IGES ainda não foi replicada na Secretaria, ao que Bárbara respondeu que não há impedimentos e que mantém diálogo constante com a Subsecretaria de Logística (SULOG) para troca de experiências e </w:t>
      </w:r>
      <w:r w:rsidRPr="630F7465">
        <w:rPr>
          <w:i/>
          <w:iCs/>
        </w:rPr>
        <w:t>benchmarking</w:t>
      </w:r>
      <w:r>
        <w:t xml:space="preserve">. A apresentação de Bárbara foi encerrada sendo citada pela deputada como um exemplo a ser seguido pela gestão pública. </w:t>
      </w:r>
      <w:r w:rsidR="32EE4FAD">
        <w:t>Dando seguimento, a</w:t>
      </w:r>
      <w:r>
        <w:t xml:space="preserve"> Gerente-Geral de Engenharia e Infraestrutura, Tatiana Tostes, iniciou sua fala complementando os dados da logística sobre a verticalização do Centro de Distribuição, ressaltando que a Superintendência de Engenharia e </w:t>
      </w:r>
      <w:r w:rsidR="4EB500E1">
        <w:t xml:space="preserve">Infraestrutura </w:t>
      </w:r>
      <w:r>
        <w:t xml:space="preserve">realizou os estudos de viabilidade e cálculos estruturais necessários para a regulamentação e obtenção do alvará sanitário do local. No detalhamento das atividades realizadas entre setembro e dezembro de 2025, Tatiana informou que o Instituto gerenciou um montante de aproximadamente 26 milhões de reais em reformas e adequações, com maior concentração de recursos no Hospital de Base, devido à antiguidade da estrutura, onde foram realizadas melhorias como a reforma das enfermarias, a troca da tubulação de água quente e o início das obras do novo centro cirúrgico. No Hospital de Santa Maria, o investimento de 8,4 milhões focou na instalação de equipamentos de grande porte, como mamógrafo e tomógrafo, além da reforma do sistema de esgoto; enquanto nas </w:t>
      </w:r>
      <w:proofErr w:type="spellStart"/>
      <w:r>
        <w:t>UPAs</w:t>
      </w:r>
      <w:proofErr w:type="spellEnd"/>
      <w:r>
        <w:t xml:space="preserve"> as intervenções incluíram a adequação da unidade do Núcleo Bandeirante para atendimento </w:t>
      </w:r>
      <w:r>
        <w:lastRenderedPageBreak/>
        <w:t xml:space="preserve">psiquiátrico e </w:t>
      </w:r>
      <w:r w:rsidR="6E8329D4">
        <w:t xml:space="preserve">a </w:t>
      </w:r>
      <w:r>
        <w:t xml:space="preserve">modernização dos sistemas de combate a incêndio. Sobre a aquisição de tecnologias, Tatiana destacou que o projeto de instalação da ressonância magnética no Hospital de Base foi concluído e já está em operação assistencial, enquanto a unidade adquirida para Santa Maria está em fase de elaboração de projetos e adequação da sala com a Gaiola de Faraday, com previsão de entrega em 14 meses. Questionada pela deputada Dayse </w:t>
      </w:r>
      <w:proofErr w:type="spellStart"/>
      <w:r>
        <w:t>Amarilio</w:t>
      </w:r>
      <w:proofErr w:type="spellEnd"/>
      <w:r>
        <w:t xml:space="preserve"> sobre a autonomia técnica e orçamentária para essas obras, a gerente esclareceu que o IGES dispõe de quadro próprio de engenheiros e arquitetos para assinar projetos e fiscalizar execuções, utilizando tanto recursos carimbados de investimento do próprio contrato de gestão, quanto emendas parlamentares. Em relação ao controle do parque tecnológico, informou que o Instituto monitora 7.500 equipamentos e já mapeou 1.200 itens obsoletos para substituição via Ata de Registro de Preços, demonstrando um nível de inventário superior ao da Secretaria de Saúde. O debate técnico contou com a intervenção do Dr. Edson Gonçalves, Diretor de Atenção à Saúde, que explicou o descompasso entre a entrega de equipamentos de ponta, como as novas torres de endoscopia de Santa Maria, e o início efetivo do atendimento, justificando que a operacionalização depende de ajustes no plano de trabalho orçamentário para contratação de recursos humanos e manutenção, o que muitas vezes exige otimização de verbas de outras áreas. A deputada reiterou a importância dessa transparência na alocação de recursos, alertando para a gravidade do dimensionamento de pessoal na rede, citando casos críticos onde poucos enfermeiros atendem dezenas de pacientes. Ela celebrou a nomeação de novos concursados para a SES, mas ressaltou que o déficit ainda impacta diretamente o giro de leitos e a sobrecarga nas </w:t>
      </w:r>
      <w:proofErr w:type="spellStart"/>
      <w:r>
        <w:t>UPAs</w:t>
      </w:r>
      <w:proofErr w:type="spellEnd"/>
      <w:r>
        <w:t xml:space="preserve">. No encerramento do bloco, o </w:t>
      </w:r>
      <w:r w:rsidR="00431BB7">
        <w:t xml:space="preserve">Presidente do Conselho de Saúde, Sr. </w:t>
      </w:r>
      <w:r>
        <w:t xml:space="preserve">Domingos de Brito levantou preocupações sobre a acessibilidade da UPA da Estrutural, apontando a dificuldade de acesso para pedestres e a necessidade de uma passarela. Dr. Rubens de Oliveira, Diretor Vice-Presidente do IGES, explicou que a escolha do terreno foi limitada por questões de solo contaminado em áreas centrais da região, mas que tratativas com a Administração Regional e projetos de novas vias de acesso no bairro </w:t>
      </w:r>
      <w:r w:rsidR="7B64AAF2" w:rsidRPr="630F7465">
        <w:rPr>
          <w:rFonts w:eastAsiaTheme="minorEastAsia"/>
          <w:color w:val="0A0A0A"/>
        </w:rPr>
        <w:t>Jóquei Clube</w:t>
      </w:r>
      <w:r>
        <w:t xml:space="preserve"> estão em andamento. Sobre incidentes de infraestrutura, Tatiana explicou que o recente vazamento na UTI do Hospital de Base foi causado por um entupimento pontual por detritos inadequados no sistema de esgoto, sendo resolvido em duas horas pela equipe de manutenção. Por fim, detalhou-se o projeto para o Hospital do Sol, que será readequado como uma unidade de cuidados prolongados com perfil paliativo, visando uma regularização estrutural mais rápida e eficiente para servir de retaguarda ao sistema de saúde, incluindo uma passarela de interligação com a UPA de Ceilândia. A discussão avançou para a definição do perfil assistencial do Hospital do Sol, com o Dr. Edson esclarecendo que a mudança para a categoria de cuidados prolongados visa uma regularização mais ágil e economicamente viável junto aos órgãos de controle. Ele </w:t>
      </w:r>
      <w:r>
        <w:lastRenderedPageBreak/>
        <w:t xml:space="preserve">explicou que, ao optar por esse modelo em detrimento de um hospital de pequeno porte com centro cirúrgico, o Instituto consegue tratar vulnerabilidades estruturais e sanitárias pendentes desde a criação emergencial da unidade na pandemia. Embora a deputada tenha questionado os valores da adaptação, a gerência de engenharia informou que o projeto ainda está em fase de elaboração. A deputada expressou preocupação quanto à sugestão do perfil de cuidados paliativos, questionando se a decisão foi isolada do IGES ou em conjunto com a Secretaria de Saúde, e alertou para o fato de que o Hospital de Apoio já possui leitos bloqueados por falta de recursos humanos. Em resposta, Dr. Edson enfatizou que o Hospital do Sol não será uma unidade nova, mas sim a regularização de uma estrutura que já atende pacientes crônicos. Ele diferenciou a vocação da unidade, definindo-a como um hospital de cuidados prolongados com perfil de transição, capaz de oferecer serviços como hemodiálise para pacientes com limitações sociais ou familiares que frequentemente ocupam leitos de retaguarda de forma prolongada. Para ilustrar a viabilidade do projeto, foi informado que a unidade realizou sua primeira hemodiálise em paciente internado recentemente, consolidando sua vocação para o atendimento de crônicos e casos de transição. Dr. Edson reiterou que a proposta de CNAE para cuidados prolongados exige uma estrutura menos complexa do que a de um hospital geral, dispensando centros cirúrgicos ou laboratórios de alta complexidade no local, o que torna a reforma estrutural a solução mais factível a curto prazo para garantir que o hospital opere com todas as autorizações de vigilância sanitária e do Corpo de Bombeiros, mantendo sua atual vinculação administrativa ao Hospital de Santa Maria. A discussão sobre a expansão da rede de pronto atendimento concentrou-se no cronograma de construção das sete novas </w:t>
      </w:r>
      <w:proofErr w:type="spellStart"/>
      <w:r>
        <w:t>UPAs</w:t>
      </w:r>
      <w:proofErr w:type="spellEnd"/>
      <w:r>
        <w:t xml:space="preserve"> e nos entraves para a habilitação ministerial das unidades já existentes. Dr. Rubens e Tatiana apresentaram o status das obras, informando que as unidades do Guará, Água Quente, Águas Claras e Taguatinga têm previsão de entrega para junho de 2026. A deputada Dayse </w:t>
      </w:r>
      <w:proofErr w:type="spellStart"/>
      <w:r>
        <w:t>Amarilio</w:t>
      </w:r>
      <w:proofErr w:type="spellEnd"/>
      <w:r>
        <w:t xml:space="preserve"> demonstrou forte ceticismo em relação a esses prazos, baseando-se em fotos recentes que mostram estágios iniciais de concretagem e ferragens, além de apontar o histórico de atrasos nos repasses governamentais e a crise de insumos na rede de saúde como complicadores para a inauguração efetiva. Em resposta às dúvidas sobre o financiamento, os representantes do IGES explicaram que, embora tenha havido lentidão nos repasses no final de 2025, o fluxo financeiro foi regularizado em março de 2026. Túlio de Araujo, da Gerência Geral de Planejamento, reforçou que existem três termos aditivos firmados desde 2024 que garantem não apenas a construção, mas também o mobiliário, equipamentos e o custeio de pessoal. Segundo o planejamento, a contratação de profissionais deve ocorrer 30 dias antes da inauguração para treinamento nas unidades já em operação. Contudo, a deputada alertou que o gasto com pessoal do Instituto já está no limite de 70%, o que exigirá uma readequação orçamentária profunda por parte </w:t>
      </w:r>
      <w:r>
        <w:lastRenderedPageBreak/>
        <w:t xml:space="preserve">da Secretaria de Saúde para comportar as novas folhas de pagamento sem ferir a Lei de Responsabilidade Fiscal. Um ponto crítico do debate foi a perda de recursos federais devido à falta de habilitação das sete </w:t>
      </w:r>
      <w:proofErr w:type="spellStart"/>
      <w:r>
        <w:t>UPAs</w:t>
      </w:r>
      <w:proofErr w:type="spellEnd"/>
      <w:r>
        <w:t xml:space="preserve"> entregues entre 2021 e 2022. Bianca Barbieri, coordenadora de habilitação, e </w:t>
      </w:r>
      <w:proofErr w:type="spellStart"/>
      <w:r>
        <w:t>Francivaldo</w:t>
      </w:r>
      <w:proofErr w:type="spellEnd"/>
      <w:r>
        <w:t xml:space="preserve"> Soares, superintendente de Atenção Pré-Hospitalar, explicaram que o Ministério da Saúde exige uma estrutura de pediatria totalmente segregada do atendimento adulto para liberar o repasse do Teto MAC (Média e Alta Complexidade). Como as unidades de "meio de rede" foram construídas como Porte 1 e sem essa separação física, o IGES tenta negociar com o governo federal um modelo de regionalização, </w:t>
      </w:r>
      <w:r w:rsidR="008B47B9">
        <w:t>em que o</w:t>
      </w:r>
      <w:r>
        <w:t xml:space="preserve"> atendimento infantil seria referenciado para hospitais próximos. Já as sete novas unidades em construção foram projetadas como Porte III, com 2.500 m² e fluxos de pediatria totalmente independentes, visando garantir a habilitação imediata após a entrega. Dr. Marcelo </w:t>
      </w:r>
      <w:proofErr w:type="spellStart"/>
      <w:r>
        <w:t>Barenco</w:t>
      </w:r>
      <w:proofErr w:type="spellEnd"/>
      <w:r>
        <w:t xml:space="preserve"> questionou por que as unidades anteriores não foram construídas seguindo as normas exigidas, resultando em anos de prejuízo financeiro para o Distrito Federal. A equipe técnica esclareceu que, enquanto aguardam novas portarias de qualificação para unidades como Sobradinho e Samambaia, que podem dobrar o repasse federal, o foco da engenharia foi regularizar as pendências junto à Vigilância Sanitária e ao Corpo de Bombeiros. A deputada Dayse finalizou o bloco criticando a opção política por construir novas </w:t>
      </w:r>
      <w:proofErr w:type="spellStart"/>
      <w:r>
        <w:t>UPAs</w:t>
      </w:r>
      <w:proofErr w:type="spellEnd"/>
      <w:r>
        <w:t xml:space="preserve"> em ano eleitoral em vez de investir na ampliação de hospitais regionais, como os de Brazlândia e do Guará, que sofrem com a falta de UTIs e maternidades, sobrecarregando o sistema de pronto atendimento. </w:t>
      </w:r>
      <w:r w:rsidR="2A85FA83">
        <w:t xml:space="preserve">Para a parlamentar, a UPA tornou-se um local de internação indevida, citando casos de pacientes psiquiátricos retidos por mais de 20 dias, o que desvirtua sua vocação de pronto atendimento e gera um ambiente de insegurança para os profissionais de saúde. Dr. Rubens justificou que a gestão das novas </w:t>
      </w:r>
      <w:proofErr w:type="spellStart"/>
      <w:r w:rsidR="2A85FA83">
        <w:t>UPAs</w:t>
      </w:r>
      <w:proofErr w:type="spellEnd"/>
      <w:r w:rsidR="2A85FA83">
        <w:t xml:space="preserve"> pelo IGES é uma determinação expressa na lei de criação do Instituto e que a </w:t>
      </w:r>
      <w:r w:rsidR="4C1AF023">
        <w:t>e</w:t>
      </w:r>
      <w:r w:rsidR="2A85FA83">
        <w:t>ngenharia atua sob demanda da Secretaria de Saúde, baseada em estudos de necessidade de rede. Ele afirmou que o processo de escolha das áreas foi robustecido e acompanhado por órgãos de controle, embora a deputada tenha desafiado o governo a apresentar um estudo epidemiológico que sustente a necessidade de tantas unidades de pronto atendimento frente ao colapso da rede hospitalar. A sessão evidenciou um impasse entre a expansão física da rede e a capacidade de custeio e operação. Enquanto o IGES projeta a entrega de unidades modernas de Porte III, a realidade das unidades atuais é marcada pela perda de repasses federais e pela sobrecarga assistencial. A deputada Dayse finalizou o bloco reafirmando o compromisso de fiscalizar os processos de demanda de cada nova obra, pontuando que o investimento em "coisas novas" não pode servir para mascarar a falta de manutenção básica, como a ausência de equipamentos logísticos simples e o déficit crônico de recursos humanos na atenção primária e especializada.</w:t>
      </w:r>
      <w:r w:rsidR="4792FAE9">
        <w:t xml:space="preserve"> </w:t>
      </w:r>
      <w:r w:rsidR="68608D1E">
        <w:t>Após pausa para o almoço</w:t>
      </w:r>
      <w:r w:rsidR="4792FAE9">
        <w:t xml:space="preserve">, </w:t>
      </w:r>
      <w:r w:rsidR="5A27B7E0">
        <w:t xml:space="preserve">a audiência foi retomada com o bloco sobre contratos, apresentada por </w:t>
      </w:r>
      <w:proofErr w:type="spellStart"/>
      <w:r w:rsidR="36BFACBE" w:rsidRPr="630F7465">
        <w:rPr>
          <w:rFonts w:eastAsiaTheme="minorEastAsia"/>
          <w:color w:val="0A0A0A"/>
        </w:rPr>
        <w:t>Lorraynne</w:t>
      </w:r>
      <w:proofErr w:type="spellEnd"/>
      <w:r w:rsidR="36BFACBE" w:rsidRPr="630F7465">
        <w:rPr>
          <w:rFonts w:eastAsiaTheme="minorEastAsia"/>
          <w:color w:val="0A0A0A"/>
        </w:rPr>
        <w:t xml:space="preserve"> </w:t>
      </w:r>
      <w:r w:rsidR="36BFACBE" w:rsidRPr="630F7465">
        <w:rPr>
          <w:rFonts w:eastAsiaTheme="minorEastAsia"/>
          <w:color w:val="0A0A0A"/>
        </w:rPr>
        <w:lastRenderedPageBreak/>
        <w:t>Ribeiro.</w:t>
      </w:r>
      <w:r w:rsidR="4792FAE9">
        <w:t xml:space="preserve"> </w:t>
      </w:r>
      <w:proofErr w:type="spellStart"/>
      <w:r w:rsidR="2A1E04BD">
        <w:t>Lorrayne</w:t>
      </w:r>
      <w:proofErr w:type="spellEnd"/>
      <w:r w:rsidR="2A1E04BD">
        <w:t xml:space="preserve"> explicou que a </w:t>
      </w:r>
      <w:r>
        <w:t xml:space="preserve">gestão administrativa e o sistema de fiscalização do IGESDF passaram por uma reestruturação profunda, consolidada no novo organograma de 2024. A principal mudança estratégica foi a separação da Superintendência de Suprimentos e Logística (SULOG) da nova Superintendência de Contratos (SUCON), liderada por </w:t>
      </w:r>
      <w:r w:rsidR="53A1116E">
        <w:t>ela</w:t>
      </w:r>
      <w:r>
        <w:t xml:space="preserve">. Esta unidade centraliza agora a formalização de todos os instrumentos contratuais, desde obras de engenharia até a compra de equipamentos imobilizados. No último quadrimestre, a SUCON geriu 605 instrumentos, alcançando uma redução média de 27% nos custos em relação aos orçamentos estimados, fruto de uma seleção de fornecedores mais rigorosa e da transição para Atas de Registro de Preços, modelo considerado mais ágil e economicamente vantajoso pela gestão. No campo do controle e transparência, a </w:t>
      </w:r>
      <w:r w:rsidR="4C1CF6F4">
        <w:t>c</w:t>
      </w:r>
      <w:r>
        <w:t>ontroladora Vanessa</w:t>
      </w:r>
      <w:r w:rsidR="00126619">
        <w:t xml:space="preserve"> </w:t>
      </w:r>
      <w:r w:rsidR="00126619" w:rsidRPr="00126619">
        <w:t>Coutinho</w:t>
      </w:r>
      <w:r>
        <w:t xml:space="preserve">, à frente da pasta desde dezembro de 2024, detalhou a implementação de um Plano Anual de Auditoria Interna que atualmente monitora 13 temáticas críticas, incluindo a produtividade médica e contratos de alto valor. A estrutura de controle foi dividida em três frentes: a Coordenação de Controle Interno, que realiza a análise de conformidade prévia à assinatura dos contratos; a Coordenação de Auditoria, que atua como um "retrovisor" para identificar falhas passadas; e a Corregedoria, responsável pela apuração de condutas disciplinares. Esse robustecimento técnico visa resgatar a confiança social no Instituto, permitindo que a sociedade acompanhe a efetividade das recomendações por meio de painéis de transparência atualizados. A deputada Dayse </w:t>
      </w:r>
      <w:proofErr w:type="spellStart"/>
      <w:r>
        <w:t>Amarilio</w:t>
      </w:r>
      <w:proofErr w:type="spellEnd"/>
      <w:r>
        <w:t xml:space="preserve"> reconheceu os avanços na organização dos contratos e na aplicação de penalidades a maus prestadores de serviço, ponto que era uma demanda histórica da comissão de fiscalização. O IGESDF reforçou o compromisso com a publicidade dos atos, integrando a Controladoria Interna em todos os processos acima de R$ 2 milhões, assegurando que a expansão da rede, que inclui a gestão de 20 </w:t>
      </w:r>
      <w:proofErr w:type="spellStart"/>
      <w:r>
        <w:t>UPAs</w:t>
      </w:r>
      <w:proofErr w:type="spellEnd"/>
      <w:r>
        <w:t xml:space="preserve"> e grandes hospitais terciários, seja acompanhada por um compliance administrativo e financeiro. A discussão sobre a governança do IGESDF avançou para a regularização dos conselhos e a atualização das prestações de contas pendentes, um esforço detalhado por Denise, representante dos órgãos colegiados, e pelo Dr. Marcelo </w:t>
      </w:r>
      <w:proofErr w:type="spellStart"/>
      <w:r>
        <w:t>Barenco</w:t>
      </w:r>
      <w:proofErr w:type="spellEnd"/>
      <w:r>
        <w:t xml:space="preserve">. O foco central foi a recomposição do Conselho de Administração e do Conselho Fiscal, que enfrentavam períodos de vacância e inatividade desde 2022. Um marco fundamental desse processo foi a aprovação das contas relativas aos anos de 2019, 2020, 2021 e 2022 pela nova composição do Conselho Fiscal, ocorrida após orientações técnicas que superaram resistências internas sobre a responsabilidade dos atuais conselheiros em analisar passivos de gestões anteriores. Dr. Marcelo </w:t>
      </w:r>
      <w:proofErr w:type="spellStart"/>
      <w:r>
        <w:t>Barenco</w:t>
      </w:r>
      <w:proofErr w:type="spellEnd"/>
      <w:r>
        <w:t xml:space="preserve"> relembrou o histórico crítico da implementação d</w:t>
      </w:r>
      <w:r w:rsidR="00EB78E1">
        <w:t>e</w:t>
      </w:r>
      <w:r>
        <w:t xml:space="preserve"> controle no Instituto, observando que, embora o Conselho Fiscal existisse formalmente desde 2018, ele operou de forma precária e desestruturada. A atuação sistêmica do colegiado só foi consolidada em 2024, após recomendações e ações judiciais do Ministério Público que garantiram </w:t>
      </w:r>
      <w:r>
        <w:lastRenderedPageBreak/>
        <w:t xml:space="preserve">o regimento interno e a estrutura necessária para o trabalho. Atualmente, a governança do IGESDF é composta pelo CONAD, com dez titulares e suplentes indicados por lista tríplice e designados pelo Governador; pelo Conselho Fiscal, com três titulares e suplentes responsáveis pela fiscalização contábil; e pela Diretoria Executiva, que coordena a gestão técnica e assistencial. Para viabilizar a análise técnica desse passivo, foi contratada uma nova empresa de auditoria externa independente, que já iniciou os trabalhos referentes aos anos de 2023, 2024 e 2025. A deputada Dayse </w:t>
      </w:r>
      <w:proofErr w:type="spellStart"/>
      <w:r>
        <w:t>Amarilio</w:t>
      </w:r>
      <w:proofErr w:type="spellEnd"/>
      <w:r>
        <w:t xml:space="preserve"> expressou preocupação com a profundidade das auditorias passadas, citando relatórios anteriores que considerou superficiais para a magnitude do orçamento da saúde do Distrito Federal. Ela defendeu que a auditoria externa deve ser um processo automático e anual, e não um esforço esporádico, para assegurar a transparência na aplicação dos recursos públicos. Em resposta, a equipe do IGES confirmou que os pareceres detalhados e as atas de aprovação, incluindo possíveis ressalvas, serão publicados no Portal de Transparência e na intranet do Instituto para livre consulta da sociedade e dos órgãos de controle. A deputada solicitou formalmente o cronograma da auditoria atual para monitorar o cumprimento dos prazos, reforçando que a moralização e o resgate da dignidade institucional dependem da continuidade desse rigor fiscalizatório e da regularidade nas prestações de contas perante a Câmara Legislativa e o Conselho de Saúde. Na sequência da audiência, o senhor Domingos iniciou sua fala abordando as dificuldades relacionadas à auditoria e à estrutura de governança, destacando que o Conselho de Administração é composto por dez membros, incluindo o Secretário de Saúde, mas ressaltou que as exigências legais para indicação, como a vedação de vínculos partidários ou sindicais nos últimos anos, têm dificultado significativamente a escolha de profissionais qualificados, especialmente com conhecimento técnico-contábil. Ainda em sua exposição, esclareceu aspectos relativos aos contratos, em especial sobre as atas de registro de preço, explicando que o aumento no número de rescisões contratuais decorre, em parte, da transição do modelo tradicional de contratos para esse novo formato. Informou também que a redução apontada nos valores contratados, cerca de 27%, refere-se à diferença entre o valor estimado na fase inicial da licitação e o valor efetivamente contratado, sendo essa estimativa elaborada pela área de compras com base em preços públicos e referências de mercado. A deputada Dayse </w:t>
      </w:r>
      <w:proofErr w:type="spellStart"/>
      <w:r>
        <w:t>Amarilio</w:t>
      </w:r>
      <w:proofErr w:type="spellEnd"/>
      <w:r>
        <w:t xml:space="preserve">, ao retomar a palavra, questionou pontos específicos dos dados apresentados, especialmente quanto à baixa quantidade de penalidades efetivamente publicadas em comparação com o número de ocorrências registradas. Em resposta, a equipe técnica do IGESDF explicou que o processo de apuração de penalidades segue um rito administrativo complexo, que envolve análise de reincidência, impacto operacional, garantia do contraditório e ampla defesa, além de avaliação jurídica, o que acaba tornando o procedimento mais demorado. Ressaltou-se ainda que a área responsável é recente e vem </w:t>
      </w:r>
      <w:r>
        <w:lastRenderedPageBreak/>
        <w:t xml:space="preserve">passando por um processo de maturação, incluindo a implementação de instrumentos como matriz de risco e níveis de serviço nos contratos. Na sequência, o senhor Marcos Dutra, diretor de infraestrutura, logística e obras do IGESDF, complementou as informações, afirmando que houve avanço significativo na estruturação dos processos de penalidade. Informou que, atualmente, estão sendo proferidas, em média, cerca de 20 decisões administrativas por semana, o que deverá impactar positivamente os próximos relatórios, inclusive com aumento na arrecadação decorrente da aplicação de multas contratuais. Destacou ainda que empresas inadimplentes podem sofrer sanções mais graves, como suspensão ou declaração de inidoneidade. Retomando a condução dos trabalhos, a deputada fez considerações mais amplas sobre a importância da fiscalização, ressaltando que muitas das melhorias observadas decorrem da atuação dos órgãos de controle, como o Ministério Público e os Tribunais de Contas. Criticou a lógica de planejamento de algumas ações, como a expansão de </w:t>
      </w:r>
      <w:proofErr w:type="spellStart"/>
      <w:r>
        <w:t>UPAs</w:t>
      </w:r>
      <w:proofErr w:type="spellEnd"/>
      <w:r>
        <w:t xml:space="preserve">, apontando possível desalinhamento com critérios técnicos e assistenciais. Em seguida, a parlamentar trouxe à discussão casos concretos de contratos problemáticos, citando empresas como Salutar e UTI Vida, destacando prejuízos assistenciais e financeiros decorrentes de falhas na prestação de serviços. Mencionou, ainda, investigação conduzida por órgãos de repressão à corrupção que apontou possíveis irregularidades no repasse de recursos públicos e na execução contratual, reforçando a necessidade de maior rigor nos mecanismos de controle. Ao tratar especificamente do contrato com a empresa APC </w:t>
      </w:r>
      <w:proofErr w:type="spellStart"/>
      <w:r w:rsidRPr="630F7465">
        <w:rPr>
          <w:i/>
          <w:iCs/>
        </w:rPr>
        <w:t>Facilities</w:t>
      </w:r>
      <w:proofErr w:type="spellEnd"/>
      <w:r>
        <w:t xml:space="preserve">, a deputada questionou a manutenção da empresa mesmo diante de apontamentos de irregularidades, incluindo possíveis casos de superfaturamento identificados por órgãos de controle. Indagou, ainda, sobre a demora na realização de nova licitação e o prolongamento de pagamentos por meio de verba indenizatória. Em resposta, os representantes do IGESDF explicaram que o contrato original, firmado em 2018, sofreu aditivos em razão da expansão da rede, incluindo novas </w:t>
      </w:r>
      <w:proofErr w:type="spellStart"/>
      <w:r>
        <w:t>UPAs</w:t>
      </w:r>
      <w:proofErr w:type="spellEnd"/>
      <w:r>
        <w:t xml:space="preserve"> inauguradas em 2022. Informaram que parte dos serviços passou a ser executada por meio de contrato emergencial, posteriormente convertido em indenizatório devido à não conclusão, em tempo hábil, do processo licitatório global, o qual enfrentou sucessivas impugnações e questionamentos, especialmente quanto à metodologia de formação de preços. A equipe técnica esclareceu que a empresa APC permanece apta a participar de licitações por não possuir, até o momento, sanção de inidoneidade ou suspensão vigente, e que eventuais irregularidades vêm sendo tratadas por meio de glosas contratuais e processos administrativos de penalidade. A deputada demonstrou forte preocupação com a situação exposta, classificando-a como grave, e criticou a morosidade na definição do modelo licitatório, destacando que o contrato original já ultrapassou o prazo regular de vigência e que serviços vêm sendo pagos há anos por meio de instrumentos precários. Ressaltou a necessidade de atuação mais incisiva, inclusive junto ao </w:t>
      </w:r>
      <w:r>
        <w:lastRenderedPageBreak/>
        <w:t xml:space="preserve">Tribunal de Contas, para destravar o processo e garantir segurança jurídica e eficiência na contratação. Dando continuidade à audiência, a equipe técnica do IGESDF esclareceu que a contratação emergencial referente às </w:t>
      </w:r>
      <w:proofErr w:type="spellStart"/>
      <w:r>
        <w:t>UPAs</w:t>
      </w:r>
      <w:proofErr w:type="spellEnd"/>
      <w:r>
        <w:t xml:space="preserve"> foi realizada exclusivamente para viabilizar o início das operações dessas unidades, uma vez que já estava em curso uma licitação de caráter global destinada a substituir o modelo anterior e abranger todas as unidades sob gestão do Instituto. Ressaltou-se que essa licitação enfrentou entraves relevantes no Tribunal de Contas, especialmente a partir de decisão cautelar proferida em outubro de 2023, que determinou a suspensão do certame, resultando em paralisação de aproximadamente se</w:t>
      </w:r>
      <w:r w:rsidR="00F161CE">
        <w:t>is</w:t>
      </w:r>
      <w:r>
        <w:t xml:space="preserve"> meses, até abril de 2024, quando houve retomada após análise de mérito. Segundo os esclarecimentos apresentados, ao longo da tramitação no Tribunal de Contas houve diferentes fases decisórias, incluindo análise de mérito com pontos julgados improcedentes, um ponto considerado procedente e outros prejudicados, além de fase recursal sem efeito suspensivo. A equipe destacou que tais intervenções impactaram diretamente o cronograma da contratação, afastando a hipótese de inércia administrativa, e reforçou que a nova licitação foi estruturada em modelo global, com divisão em lotes e previsão de atendimento sob demanda, inclusive para futuras unidades em implantação. Foi enfatizado ainda que, embora a deputada tenha apontado possíveis prejuízos decorrentes da demora, os pagamentos realizados por meio de verba indenizatória seguem critérios técnicos rigorosos, incluindo medição de produtividade, atesto da execução dos serviços e verificação da habilitação da empresa, replicando, na prática, os controles de um contrato formal, ainda que sem vigência regular. Na sequência, o Sr. Domingos retomou a palavra e indicou a intenção de aprofundar a análise sobre os chamados “grandes contratos” do Instituto, mencionando áreas sensíveis como alimentação, imagem, transporte (incluindo o contrato com a empresa UTI Vida), limpeza, vigilância e sistemas, destacando a relevância desses instrumentos tanto do ponto de vista financeiro quanto operacional. Ao tratar do contrato de alimentação, observou a necessidade de atenção quanto ao prazo de vigência e à eventual abertura de novo processo licitatório, sendo informado pela equipe que o planejamento para nova contratação já se encontra em elaboração. Sr. Domingos questionou, ainda, a governança desses grandes contratos, sugerindo a adoção de um modelo mais robusto de controle interno prévio, semelhante ao adotado na Secretaria de Saúde, no qual contratos de maior relevância passam por análise técnica detalhada antes de sua formalização, incluindo verificação de preços e riscos. Em resposta, representantes da Controladoria do IGES informaram que, desde a reestruturação promovida na gestão atual, foi criada a Coordenação de Controle Interno, inexistente anteriormente, passando a realizar análise prévia de conformidade em processos acima de determinado valor (R$ 2 milhões), além de contratos considerados sensíveis. Esclareceram, contudo, que essa análise não adentra o mérito do preço </w:t>
      </w:r>
      <w:r>
        <w:lastRenderedPageBreak/>
        <w:t xml:space="preserve">em si, mas avalia a consistência da instrução processual e os riscos envolvidos, tendo como base experiências e trocas institucionais com outros órgãos de controle. Ainda no campo da governança, foi destacada a descentralização da gestão contratual ocorrida a partir de novembro de 2024, quando a responsabilidade por cerca de 1.400 contratos deixou de ser concentrada em uma única gerência, passando a ser distribuída entre gestores e fiscais nas áreas finalísticas, acompanhada de ações de capacitação e apoio técnico. Sr. Domingos também trouxe considerações sobre a transparência dos contratos, apontando dificuldades práticas na consulta das informações no portal do IGESDF, sugerindo melhorias nos mecanismos de busca e organização dos dados. Em resposta, o gerente de contratos, Felipe Arouche, apresentou funcionalidades recentes implementadas, como filtros por nome de empresa e acesso ao histórico completo dos instrumentos contratuais, incluindo editais, contratos e termos aditivos, reconhecendo, contudo, a necessidade de contínuo aprimoramento da ferramenta. Na sequência, o debate avançou para a temática das penalidades contratuais, sendo ressaltada a importância de sua aplicação efetiva para regulação do mercado fornecedor. Domingos alertou para o risco de ineficiência caso os processos de penalidade não avancem de forma tempestiva, citando exemplos da Secretaria de Saúde. Em resposta, a equipe do IGESDF reiterou que os procedimentos seguem critérios normativos, incluindo análise de reincidência e gradação das sanções, e que há atualmente centenas de processos em apuração, inclusive com reavaliação de passivos anteriores. Ainda nesse contexto, foi esclarecida a questão da competência para instauração de processos administrativos sancionadores mais gravosos (como declaração de inidoneidade), informando-se que, conforme entendimento da Procuradoria-Geral, tal atribuição compete à Secretaria de Saúde, cabendo ao IGESDF subsidiar tecnicamente os processos. Sr. Domingos trouxe preocupação quanto à proposta de atualização do regulamento de compras do Instituto, sugerindo cautela diante de possíveis flexibilizações sem o correspondente fortalecimento dos mecanismos de controle. A equipe do IGESDF indicou que o tema está em discussão e sujeito à análise dos órgãos competentes. Encerrando o trecho, o gerente de contratos realizou breve demonstração prática do sistema de transparência, evidenciando avanços na disponibilização de informações, ao passo que a deputada reforçou críticas à origem histórica das fragilidades estruturais, destacando que os desafios atuais decorrem, em grande medida, de falhas na concepção inicial dos processos, exigindo da gestão atual esforços contínuos de correção e aprimoramento. Ao final da reunião, Dr. Cleber agradeceu as exposições realizadas e destacou os avanços apresentados pelas áreas técnicas, ressaltando o esforço institucional empreendido para corrigir fragilidades históricas e estruturar processos mais eficientes, seguros e transparentes. Foram feitos apontamentos quanto à importância do planejamento integrado entre as áreas, especialmente na </w:t>
      </w:r>
      <w:r>
        <w:lastRenderedPageBreak/>
        <w:t xml:space="preserve">articulação entre contratos, assistência e regulação, enfatizando que a melhoria dos instrumentos contratuais deve refletir diretamente na qualidade da prestação dos serviços ao usuário. A deputada manifestou reconhecimento pelos avanços demonstrados, em especial nas áreas de transporte sanitário e reestruturação contratual, destacando que, apesar das dificuldades herdadas, há evolução perceptível na gestão. Ressaltou, contudo, a necessidade de manutenção do rigor na fiscalização, no fortalecimento da transparência e na responsabilização de fornecedores, reiterando que a adequada aplicação dos recursos públicos deve permanecer como prioridade contínua. </w:t>
      </w:r>
      <w:r w:rsidR="00C30870">
        <w:t>A</w:t>
      </w:r>
      <w:r>
        <w:t xml:space="preserve"> deputada propôs o encerramento da audiência, sendo acatada a continuidade dos trabalhos em nova reunião a ser realizada no dia 10 de abril, às 9h30, com foco nos temas assistenciais, incluindo </w:t>
      </w:r>
      <w:r w:rsidR="00C30870">
        <w:t>H</w:t>
      </w:r>
      <w:r>
        <w:t xml:space="preserve">ospital de </w:t>
      </w:r>
      <w:r w:rsidR="00C30870">
        <w:t>B</w:t>
      </w:r>
      <w:r>
        <w:t xml:space="preserve">ase, </w:t>
      </w:r>
      <w:proofErr w:type="spellStart"/>
      <w:r>
        <w:t>UPAs</w:t>
      </w:r>
      <w:proofErr w:type="spellEnd"/>
      <w:r>
        <w:t xml:space="preserve">, Santa Maria, gestão de pessoas e serviços de diagnóstico. </w:t>
      </w:r>
      <w:r w:rsidR="392F9912" w:rsidRPr="630F7465">
        <w:rPr>
          <w:rFonts w:eastAsiaTheme="minorEastAsia"/>
          <w:color w:val="000000" w:themeColor="text1"/>
        </w:rPr>
        <w:t xml:space="preserve">Não havendo mais manifestações, e cumprida a finalidade da audiência pública, a Presidente da Comissão, Deputada Dayse </w:t>
      </w:r>
      <w:proofErr w:type="spellStart"/>
      <w:r w:rsidR="392F9912" w:rsidRPr="630F7465">
        <w:rPr>
          <w:rFonts w:eastAsiaTheme="minorEastAsia"/>
          <w:color w:val="000000" w:themeColor="text1"/>
        </w:rPr>
        <w:t>Amarilio</w:t>
      </w:r>
      <w:proofErr w:type="spellEnd"/>
      <w:r w:rsidR="392F9912" w:rsidRPr="630F7465">
        <w:rPr>
          <w:rFonts w:eastAsiaTheme="minorEastAsia"/>
          <w:color w:val="000000" w:themeColor="text1"/>
        </w:rPr>
        <w:t xml:space="preserve">, agradeceu a presença de todos e declarou encerrados os trabalhos às </w:t>
      </w:r>
      <w:r w:rsidR="05169A6A" w:rsidRPr="630F7465">
        <w:rPr>
          <w:rFonts w:eastAsiaTheme="minorEastAsia"/>
          <w:color w:val="000000" w:themeColor="text1"/>
        </w:rPr>
        <w:t>16</w:t>
      </w:r>
      <w:r w:rsidR="392F9912" w:rsidRPr="630F7465">
        <w:rPr>
          <w:rFonts w:eastAsiaTheme="minorEastAsia"/>
          <w:color w:val="000000" w:themeColor="text1"/>
        </w:rPr>
        <w:t xml:space="preserve"> horas e </w:t>
      </w:r>
      <w:r w:rsidR="343C26D6" w:rsidRPr="630F7465">
        <w:rPr>
          <w:rFonts w:eastAsiaTheme="minorEastAsia"/>
          <w:color w:val="000000" w:themeColor="text1"/>
        </w:rPr>
        <w:t>56</w:t>
      </w:r>
      <w:r w:rsidR="392F9912" w:rsidRPr="630F7465">
        <w:rPr>
          <w:rFonts w:eastAsiaTheme="minorEastAsia"/>
          <w:color w:val="000000" w:themeColor="text1"/>
        </w:rPr>
        <w:t xml:space="preserve"> minutos. Eu, Natalia dos Anjos Marques, na qualidade de Secretária da Comissão de Saúde, lavro a presente ata.</w:t>
      </w:r>
    </w:p>
    <w:p w14:paraId="5ED8DE12" w14:textId="3310E272" w:rsidR="00D850F8" w:rsidRPr="00063D78" w:rsidRDefault="00D850F8" w:rsidP="066EDBE4">
      <w:pPr>
        <w:spacing w:line="276" w:lineRule="auto"/>
        <w:jc w:val="both"/>
        <w:rPr>
          <w:rFonts w:eastAsiaTheme="minorEastAsia"/>
          <w:color w:val="000000" w:themeColor="text1"/>
        </w:rPr>
      </w:pPr>
    </w:p>
    <w:p w14:paraId="288A2C33" w14:textId="66BD1F0A" w:rsidR="00D850F8" w:rsidRPr="00063D78" w:rsidRDefault="392F9912" w:rsidP="066EDBE4">
      <w:pPr>
        <w:pStyle w:val="i03centralizado12"/>
        <w:spacing w:before="120" w:beforeAutospacing="0" w:after="120" w:afterAutospacing="0"/>
        <w:ind w:left="120" w:right="120"/>
        <w:jc w:val="center"/>
        <w:rPr>
          <w:color w:val="000000" w:themeColor="text1"/>
        </w:rPr>
      </w:pPr>
      <w:r w:rsidRPr="066EDBE4">
        <w:rPr>
          <w:color w:val="000000" w:themeColor="text1"/>
        </w:rPr>
        <w:t>Brasília, 26 de março de 2026.</w:t>
      </w:r>
      <w:r w:rsidRPr="066EDBE4">
        <w:rPr>
          <w:b/>
          <w:bCs/>
          <w:caps/>
          <w:color w:val="000000" w:themeColor="text1"/>
        </w:rPr>
        <w:t> </w:t>
      </w:r>
    </w:p>
    <w:p w14:paraId="1A546D5F" w14:textId="327A284C" w:rsidR="00D850F8" w:rsidRPr="00063D78" w:rsidRDefault="00D850F8" w:rsidP="066EDBE4">
      <w:pPr>
        <w:spacing w:after="0" w:line="240" w:lineRule="auto"/>
        <w:ind w:left="60" w:right="60"/>
        <w:jc w:val="center"/>
        <w:rPr>
          <w:rFonts w:ascii="Calibri" w:eastAsia="Calibri" w:hAnsi="Calibri" w:cs="Calibri"/>
          <w:color w:val="000000" w:themeColor="text1"/>
        </w:rPr>
      </w:pPr>
    </w:p>
    <w:p w14:paraId="4D233FEE" w14:textId="55F62E12" w:rsidR="00D850F8" w:rsidRPr="00063D78" w:rsidRDefault="392F9912" w:rsidP="61CF6854">
      <w:pPr>
        <w:spacing w:after="0" w:line="240" w:lineRule="auto"/>
        <w:jc w:val="center"/>
        <w:rPr>
          <w:rFonts w:ascii="Calibri" w:eastAsia="Calibri" w:hAnsi="Calibri" w:cs="Calibri"/>
          <w:color w:val="000000" w:themeColor="text1"/>
        </w:rPr>
      </w:pPr>
      <w:r w:rsidRPr="61CF6854">
        <w:rPr>
          <w:rFonts w:ascii="Calibri" w:eastAsia="Calibri" w:hAnsi="Calibri" w:cs="Calibri"/>
          <w:b/>
          <w:bCs/>
          <w:color w:val="000000" w:themeColor="text1"/>
        </w:rPr>
        <w:t>DEPUTADA DAYSE AMARILIO</w:t>
      </w:r>
    </w:p>
    <w:p w14:paraId="4739BC9D" w14:textId="22DC7AEF" w:rsidR="00D850F8" w:rsidRPr="00063D78" w:rsidRDefault="392F9912" w:rsidP="61CF6854">
      <w:pPr>
        <w:spacing w:after="0" w:line="240" w:lineRule="auto"/>
        <w:ind w:left="60" w:right="60"/>
        <w:jc w:val="center"/>
        <w:rPr>
          <w:rFonts w:ascii="Calibri" w:eastAsia="Calibri" w:hAnsi="Calibri" w:cs="Calibri"/>
          <w:color w:val="000000" w:themeColor="text1"/>
        </w:rPr>
      </w:pPr>
      <w:r w:rsidRPr="61CF6854">
        <w:rPr>
          <w:rFonts w:ascii="Calibri" w:eastAsia="Calibri" w:hAnsi="Calibri" w:cs="Calibri"/>
          <w:i/>
          <w:iCs/>
          <w:color w:val="000000" w:themeColor="text1"/>
        </w:rPr>
        <w:t>Presidente da Comissão de Saúde</w:t>
      </w:r>
    </w:p>
    <w:p w14:paraId="1735A448" w14:textId="45EF2CEC" w:rsidR="00D850F8" w:rsidRPr="00063D78" w:rsidRDefault="00D850F8" w:rsidP="00D850F8">
      <w:pPr>
        <w:jc w:val="both"/>
      </w:pPr>
    </w:p>
    <w:p w14:paraId="7FEC2AE1" w14:textId="77777777" w:rsidR="00D850F8" w:rsidRPr="00EF0957" w:rsidRDefault="00D850F8" w:rsidP="00D850F8">
      <w:pPr>
        <w:jc w:val="both"/>
      </w:pPr>
    </w:p>
    <w:p w14:paraId="2235F9F1" w14:textId="77777777" w:rsidR="00D850F8" w:rsidRPr="00F860A9" w:rsidRDefault="00D850F8" w:rsidP="00D850F8">
      <w:pPr>
        <w:jc w:val="both"/>
      </w:pPr>
    </w:p>
    <w:p w14:paraId="77FBEFC1" w14:textId="52B741B0" w:rsidR="001925A1" w:rsidRPr="00D850F8" w:rsidRDefault="001925A1" w:rsidP="00D850F8"/>
    <w:sectPr w:rsidR="001925A1" w:rsidRPr="00D850F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2BA3" w14:textId="77777777" w:rsidR="00087C60" w:rsidRDefault="00087C60" w:rsidP="00C4077D">
      <w:pPr>
        <w:spacing w:after="0" w:line="240" w:lineRule="auto"/>
      </w:pPr>
      <w:r>
        <w:separator/>
      </w:r>
    </w:p>
  </w:endnote>
  <w:endnote w:type="continuationSeparator" w:id="0">
    <w:p w14:paraId="50341E85" w14:textId="77777777" w:rsidR="00087C60" w:rsidRDefault="00087C60" w:rsidP="00C4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019918"/>
      <w:docPartObj>
        <w:docPartGallery w:val="Page Numbers (Bottom of Page)"/>
        <w:docPartUnique/>
      </w:docPartObj>
    </w:sdtPr>
    <w:sdtContent>
      <w:p w14:paraId="1D7C5532" w14:textId="7D53AC31" w:rsidR="00E77B99" w:rsidRDefault="00E77B99">
        <w:pPr>
          <w:pStyle w:val="Rodap"/>
          <w:jc w:val="right"/>
        </w:pPr>
        <w:r>
          <w:fldChar w:fldCharType="begin"/>
        </w:r>
        <w:r>
          <w:instrText>PAGE   \* MERGEFORMAT</w:instrText>
        </w:r>
        <w:r>
          <w:fldChar w:fldCharType="separate"/>
        </w:r>
        <w:r>
          <w:t>2</w:t>
        </w:r>
        <w:r>
          <w:fldChar w:fldCharType="end"/>
        </w:r>
      </w:p>
    </w:sdtContent>
  </w:sdt>
  <w:p w14:paraId="48007387" w14:textId="5C9B3649" w:rsidR="6121A37C" w:rsidRDefault="6121A37C" w:rsidP="6121A3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0878" w14:textId="77777777" w:rsidR="00087C60" w:rsidRDefault="00087C60" w:rsidP="00C4077D">
      <w:pPr>
        <w:spacing w:after="0" w:line="240" w:lineRule="auto"/>
      </w:pPr>
      <w:r>
        <w:separator/>
      </w:r>
    </w:p>
  </w:footnote>
  <w:footnote w:type="continuationSeparator" w:id="0">
    <w:p w14:paraId="484819E4" w14:textId="77777777" w:rsidR="00087C60" w:rsidRDefault="00087C60" w:rsidP="00C4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9D9C" w14:textId="15014669" w:rsidR="00C4077D" w:rsidRDefault="00C4077D">
    <w:pPr>
      <w:pStyle w:val="Cabealho"/>
    </w:pPr>
    <w:r>
      <w:rPr>
        <w:noProof/>
      </w:rPr>
      <w:drawing>
        <wp:anchor distT="0" distB="0" distL="114300" distR="114300" simplePos="0" relativeHeight="251658240" behindDoc="0" locked="0" layoutInCell="1" allowOverlap="1" wp14:anchorId="73361A79" wp14:editId="06B63DD2">
          <wp:simplePos x="0" y="0"/>
          <wp:positionH relativeFrom="column">
            <wp:posOffset>814808</wp:posOffset>
          </wp:positionH>
          <wp:positionV relativeFrom="paragraph">
            <wp:posOffset>-449580</wp:posOffset>
          </wp:positionV>
          <wp:extent cx="3064510" cy="988695"/>
          <wp:effectExtent l="0" t="0" r="2540" b="1905"/>
          <wp:wrapNone/>
          <wp:docPr id="589950357" name="Imagem 1" descr="Desenho de bandei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nho de bandeir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510" cy="9886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0648"/>
    <w:multiLevelType w:val="multilevel"/>
    <w:tmpl w:val="46F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B7D86"/>
    <w:multiLevelType w:val="multilevel"/>
    <w:tmpl w:val="A4B0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751941">
    <w:abstractNumId w:val="0"/>
  </w:num>
  <w:num w:numId="2" w16cid:durableId="196098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1B"/>
    <w:rsid w:val="00087C60"/>
    <w:rsid w:val="000C4DAA"/>
    <w:rsid w:val="000C5BDA"/>
    <w:rsid w:val="00126619"/>
    <w:rsid w:val="00126DC9"/>
    <w:rsid w:val="001629C3"/>
    <w:rsid w:val="00177DC0"/>
    <w:rsid w:val="001925A1"/>
    <w:rsid w:val="001B64AA"/>
    <w:rsid w:val="001D302A"/>
    <w:rsid w:val="002A5D5F"/>
    <w:rsid w:val="002D5293"/>
    <w:rsid w:val="002E7AE6"/>
    <w:rsid w:val="00300A65"/>
    <w:rsid w:val="003E66A4"/>
    <w:rsid w:val="00420C1B"/>
    <w:rsid w:val="00431BB7"/>
    <w:rsid w:val="004E2396"/>
    <w:rsid w:val="00586871"/>
    <w:rsid w:val="005E0FE7"/>
    <w:rsid w:val="00610D61"/>
    <w:rsid w:val="00664A69"/>
    <w:rsid w:val="006E5C73"/>
    <w:rsid w:val="00791F5E"/>
    <w:rsid w:val="007B1A0D"/>
    <w:rsid w:val="007D5C14"/>
    <w:rsid w:val="00837B21"/>
    <w:rsid w:val="008B47B9"/>
    <w:rsid w:val="008C2FCE"/>
    <w:rsid w:val="00922A73"/>
    <w:rsid w:val="00936218"/>
    <w:rsid w:val="009C684E"/>
    <w:rsid w:val="009E386D"/>
    <w:rsid w:val="00A30AF8"/>
    <w:rsid w:val="00A85C8B"/>
    <w:rsid w:val="00AC1193"/>
    <w:rsid w:val="00B94A57"/>
    <w:rsid w:val="00C30870"/>
    <w:rsid w:val="00C4077D"/>
    <w:rsid w:val="00C43C34"/>
    <w:rsid w:val="00C9445C"/>
    <w:rsid w:val="00D2351B"/>
    <w:rsid w:val="00D850F8"/>
    <w:rsid w:val="00D95BA1"/>
    <w:rsid w:val="00DF7AEB"/>
    <w:rsid w:val="00E77B99"/>
    <w:rsid w:val="00EB78E1"/>
    <w:rsid w:val="00F161CE"/>
    <w:rsid w:val="00F20745"/>
    <w:rsid w:val="01A9F9C7"/>
    <w:rsid w:val="01AE04C6"/>
    <w:rsid w:val="03458D7D"/>
    <w:rsid w:val="034A7BAE"/>
    <w:rsid w:val="0389F96F"/>
    <w:rsid w:val="0473B26C"/>
    <w:rsid w:val="05169A6A"/>
    <w:rsid w:val="066EDBE4"/>
    <w:rsid w:val="068B7564"/>
    <w:rsid w:val="075F6F7B"/>
    <w:rsid w:val="081997CA"/>
    <w:rsid w:val="08239E15"/>
    <w:rsid w:val="085D35E9"/>
    <w:rsid w:val="0B4FC7CE"/>
    <w:rsid w:val="0BA12405"/>
    <w:rsid w:val="0C2AC2A9"/>
    <w:rsid w:val="0C785D2A"/>
    <w:rsid w:val="0DEC0ABD"/>
    <w:rsid w:val="0E301DC9"/>
    <w:rsid w:val="1027E7DE"/>
    <w:rsid w:val="107D35A2"/>
    <w:rsid w:val="10C8F06E"/>
    <w:rsid w:val="114B8FAA"/>
    <w:rsid w:val="12D36ED4"/>
    <w:rsid w:val="1362390F"/>
    <w:rsid w:val="146CEAF6"/>
    <w:rsid w:val="152C4AF9"/>
    <w:rsid w:val="152E0C62"/>
    <w:rsid w:val="15E825A6"/>
    <w:rsid w:val="1659B2B2"/>
    <w:rsid w:val="16FFBB39"/>
    <w:rsid w:val="1A60C576"/>
    <w:rsid w:val="1A7C881D"/>
    <w:rsid w:val="1AA97588"/>
    <w:rsid w:val="1AC443C7"/>
    <w:rsid w:val="1BBC1CB7"/>
    <w:rsid w:val="1CCA14A7"/>
    <w:rsid w:val="1EDF1E65"/>
    <w:rsid w:val="1F82C498"/>
    <w:rsid w:val="218B4F35"/>
    <w:rsid w:val="247556C4"/>
    <w:rsid w:val="25192AE4"/>
    <w:rsid w:val="2655FBEB"/>
    <w:rsid w:val="2957224B"/>
    <w:rsid w:val="2A1E04BD"/>
    <w:rsid w:val="2A314285"/>
    <w:rsid w:val="2A48D7E2"/>
    <w:rsid w:val="2A85FA83"/>
    <w:rsid w:val="2B237BC8"/>
    <w:rsid w:val="2B4F0151"/>
    <w:rsid w:val="2C773F04"/>
    <w:rsid w:val="2E838522"/>
    <w:rsid w:val="2EB4A50E"/>
    <w:rsid w:val="2F6B3066"/>
    <w:rsid w:val="2F862160"/>
    <w:rsid w:val="30A156F7"/>
    <w:rsid w:val="30E6C4EE"/>
    <w:rsid w:val="32EE4FAD"/>
    <w:rsid w:val="3350333E"/>
    <w:rsid w:val="343C26D6"/>
    <w:rsid w:val="34E18F95"/>
    <w:rsid w:val="34F73DCC"/>
    <w:rsid w:val="35798EF5"/>
    <w:rsid w:val="364523BA"/>
    <w:rsid w:val="36BFACBE"/>
    <w:rsid w:val="3927FD38"/>
    <w:rsid w:val="392F9912"/>
    <w:rsid w:val="3B1AAEC4"/>
    <w:rsid w:val="3B78E425"/>
    <w:rsid w:val="3D245C1D"/>
    <w:rsid w:val="3D83DA4C"/>
    <w:rsid w:val="3F301B24"/>
    <w:rsid w:val="400491EB"/>
    <w:rsid w:val="4092D5C6"/>
    <w:rsid w:val="423E054B"/>
    <w:rsid w:val="42D925A7"/>
    <w:rsid w:val="43466283"/>
    <w:rsid w:val="4381D1C4"/>
    <w:rsid w:val="4658418F"/>
    <w:rsid w:val="47655E03"/>
    <w:rsid w:val="4792FAE9"/>
    <w:rsid w:val="47CB3CCA"/>
    <w:rsid w:val="47EC8520"/>
    <w:rsid w:val="49DCF6F9"/>
    <w:rsid w:val="4A33514F"/>
    <w:rsid w:val="4A4516F5"/>
    <w:rsid w:val="4B03736D"/>
    <w:rsid w:val="4B2137DE"/>
    <w:rsid w:val="4B27286F"/>
    <w:rsid w:val="4C1AF023"/>
    <w:rsid w:val="4C1CF6F4"/>
    <w:rsid w:val="4CB7B1CD"/>
    <w:rsid w:val="4EB500E1"/>
    <w:rsid w:val="524E15EE"/>
    <w:rsid w:val="53A1116E"/>
    <w:rsid w:val="544F0024"/>
    <w:rsid w:val="5460971A"/>
    <w:rsid w:val="56B145F6"/>
    <w:rsid w:val="581DA277"/>
    <w:rsid w:val="58768D32"/>
    <w:rsid w:val="5A27B7E0"/>
    <w:rsid w:val="5AE9AEEA"/>
    <w:rsid w:val="5B43B098"/>
    <w:rsid w:val="5C70435D"/>
    <w:rsid w:val="5E3F6ADA"/>
    <w:rsid w:val="5F193D15"/>
    <w:rsid w:val="5FB06FB3"/>
    <w:rsid w:val="600B99C4"/>
    <w:rsid w:val="610C33F2"/>
    <w:rsid w:val="6121A37C"/>
    <w:rsid w:val="61BE68F8"/>
    <w:rsid w:val="61CF6854"/>
    <w:rsid w:val="624FF086"/>
    <w:rsid w:val="630F7465"/>
    <w:rsid w:val="66DABFD5"/>
    <w:rsid w:val="6740F7A2"/>
    <w:rsid w:val="68469BA6"/>
    <w:rsid w:val="68608D1E"/>
    <w:rsid w:val="68BCAD03"/>
    <w:rsid w:val="69EABD95"/>
    <w:rsid w:val="6C7E5EA1"/>
    <w:rsid w:val="6CABE881"/>
    <w:rsid w:val="6CF90022"/>
    <w:rsid w:val="6E357956"/>
    <w:rsid w:val="6E6A7410"/>
    <w:rsid w:val="6E8329D4"/>
    <w:rsid w:val="6FE6776C"/>
    <w:rsid w:val="701380D3"/>
    <w:rsid w:val="703E2F08"/>
    <w:rsid w:val="706A73C6"/>
    <w:rsid w:val="71C42D77"/>
    <w:rsid w:val="727404CD"/>
    <w:rsid w:val="7336831A"/>
    <w:rsid w:val="73F93D0E"/>
    <w:rsid w:val="758E79C0"/>
    <w:rsid w:val="7674E86E"/>
    <w:rsid w:val="77761C29"/>
    <w:rsid w:val="77DAAC8F"/>
    <w:rsid w:val="77E7F8AF"/>
    <w:rsid w:val="79A18A37"/>
    <w:rsid w:val="7A2ED5E4"/>
    <w:rsid w:val="7A67B07E"/>
    <w:rsid w:val="7ADFE0BF"/>
    <w:rsid w:val="7B64AAF2"/>
    <w:rsid w:val="7CE1F2E0"/>
    <w:rsid w:val="7D7A1632"/>
    <w:rsid w:val="7EC97495"/>
    <w:rsid w:val="7FD0E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D4A"/>
  <w15:chartTrackingRefBased/>
  <w15:docId w15:val="{D226C7BC-0D22-4B9F-B2B2-738405D2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F8"/>
  </w:style>
  <w:style w:type="paragraph" w:styleId="Ttulo1">
    <w:name w:val="heading 1"/>
    <w:basedOn w:val="Normal"/>
    <w:next w:val="Normal"/>
    <w:link w:val="Ttulo1Char"/>
    <w:uiPriority w:val="9"/>
    <w:qFormat/>
    <w:rsid w:val="00D2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2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235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235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235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235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35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35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35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351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2351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2351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2351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2351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235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35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35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351B"/>
    <w:rPr>
      <w:rFonts w:eastAsiaTheme="majorEastAsia" w:cstheme="majorBidi"/>
      <w:color w:val="272727" w:themeColor="text1" w:themeTint="D8"/>
    </w:rPr>
  </w:style>
  <w:style w:type="paragraph" w:styleId="Ttulo">
    <w:name w:val="Title"/>
    <w:basedOn w:val="Normal"/>
    <w:next w:val="Normal"/>
    <w:link w:val="TtuloChar"/>
    <w:uiPriority w:val="10"/>
    <w:qFormat/>
    <w:rsid w:val="00D2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35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35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35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351B"/>
    <w:pPr>
      <w:spacing w:before="160"/>
      <w:jc w:val="center"/>
    </w:pPr>
    <w:rPr>
      <w:i/>
      <w:iCs/>
      <w:color w:val="404040" w:themeColor="text1" w:themeTint="BF"/>
    </w:rPr>
  </w:style>
  <w:style w:type="character" w:customStyle="1" w:styleId="CitaoChar">
    <w:name w:val="Citação Char"/>
    <w:basedOn w:val="Fontepargpadro"/>
    <w:link w:val="Citao"/>
    <w:uiPriority w:val="29"/>
    <w:rsid w:val="00D2351B"/>
    <w:rPr>
      <w:i/>
      <w:iCs/>
      <w:color w:val="404040" w:themeColor="text1" w:themeTint="BF"/>
    </w:rPr>
  </w:style>
  <w:style w:type="paragraph" w:styleId="PargrafodaLista">
    <w:name w:val="List Paragraph"/>
    <w:basedOn w:val="Normal"/>
    <w:uiPriority w:val="34"/>
    <w:qFormat/>
    <w:rsid w:val="00D2351B"/>
    <w:pPr>
      <w:ind w:left="720"/>
      <w:contextualSpacing/>
    </w:pPr>
  </w:style>
  <w:style w:type="character" w:styleId="nfaseIntensa">
    <w:name w:val="Intense Emphasis"/>
    <w:basedOn w:val="Fontepargpadro"/>
    <w:uiPriority w:val="21"/>
    <w:qFormat/>
    <w:rsid w:val="00D2351B"/>
    <w:rPr>
      <w:i/>
      <w:iCs/>
      <w:color w:val="0F4761" w:themeColor="accent1" w:themeShade="BF"/>
    </w:rPr>
  </w:style>
  <w:style w:type="paragraph" w:styleId="CitaoIntensa">
    <w:name w:val="Intense Quote"/>
    <w:basedOn w:val="Normal"/>
    <w:next w:val="Normal"/>
    <w:link w:val="CitaoIntensaChar"/>
    <w:uiPriority w:val="30"/>
    <w:qFormat/>
    <w:rsid w:val="00D2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2351B"/>
    <w:rPr>
      <w:i/>
      <w:iCs/>
      <w:color w:val="0F4761" w:themeColor="accent1" w:themeShade="BF"/>
    </w:rPr>
  </w:style>
  <w:style w:type="character" w:styleId="RefernciaIntensa">
    <w:name w:val="Intense Reference"/>
    <w:basedOn w:val="Fontepargpadro"/>
    <w:uiPriority w:val="32"/>
    <w:qFormat/>
    <w:rsid w:val="00D2351B"/>
    <w:rPr>
      <w:b/>
      <w:bCs/>
      <w:smallCaps/>
      <w:color w:val="0F4761" w:themeColor="accent1" w:themeShade="BF"/>
      <w:spacing w:val="5"/>
    </w:rPr>
  </w:style>
  <w:style w:type="paragraph" w:styleId="NormalWeb">
    <w:name w:val="Normal (Web)"/>
    <w:basedOn w:val="Normal"/>
    <w:uiPriority w:val="99"/>
    <w:semiHidden/>
    <w:unhideWhenUsed/>
    <w:rsid w:val="009C684E"/>
    <w:rPr>
      <w:rFonts w:ascii="Times New Roman" w:hAnsi="Times New Roman" w:cs="Times New Roman"/>
    </w:rPr>
  </w:style>
  <w:style w:type="paragraph" w:styleId="Cabealho">
    <w:name w:val="header"/>
    <w:basedOn w:val="Normal"/>
    <w:link w:val="CabealhoChar"/>
    <w:uiPriority w:val="99"/>
    <w:unhideWhenUsed/>
    <w:rsid w:val="00C40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77D"/>
  </w:style>
  <w:style w:type="paragraph" w:styleId="Rodap">
    <w:name w:val="footer"/>
    <w:basedOn w:val="Normal"/>
    <w:link w:val="RodapChar"/>
    <w:uiPriority w:val="99"/>
    <w:unhideWhenUsed/>
    <w:rsid w:val="00C4077D"/>
    <w:pPr>
      <w:tabs>
        <w:tab w:val="center" w:pos="4252"/>
        <w:tab w:val="right" w:pos="8504"/>
      </w:tabs>
      <w:spacing w:after="0" w:line="240" w:lineRule="auto"/>
    </w:pPr>
  </w:style>
  <w:style w:type="character" w:customStyle="1" w:styleId="RodapChar">
    <w:name w:val="Rodapé Char"/>
    <w:basedOn w:val="Fontepargpadro"/>
    <w:link w:val="Rodap"/>
    <w:uiPriority w:val="99"/>
    <w:rsid w:val="00C4077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03centralizado12">
    <w:name w:val="i03_centralizado_12"/>
    <w:basedOn w:val="Normal"/>
    <w:uiPriority w:val="1"/>
    <w:rsid w:val="34E18F95"/>
    <w:pPr>
      <w:spacing w:beforeAutospacing="1" w:afterAutospacing="1"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365">
      <w:bodyDiv w:val="1"/>
      <w:marLeft w:val="0"/>
      <w:marRight w:val="0"/>
      <w:marTop w:val="0"/>
      <w:marBottom w:val="0"/>
      <w:divBdr>
        <w:top w:val="none" w:sz="0" w:space="0" w:color="auto"/>
        <w:left w:val="none" w:sz="0" w:space="0" w:color="auto"/>
        <w:bottom w:val="none" w:sz="0" w:space="0" w:color="auto"/>
        <w:right w:val="none" w:sz="0" w:space="0" w:color="auto"/>
      </w:divBdr>
    </w:div>
    <w:div w:id="33848546">
      <w:bodyDiv w:val="1"/>
      <w:marLeft w:val="0"/>
      <w:marRight w:val="0"/>
      <w:marTop w:val="0"/>
      <w:marBottom w:val="0"/>
      <w:divBdr>
        <w:top w:val="none" w:sz="0" w:space="0" w:color="auto"/>
        <w:left w:val="none" w:sz="0" w:space="0" w:color="auto"/>
        <w:bottom w:val="none" w:sz="0" w:space="0" w:color="auto"/>
        <w:right w:val="none" w:sz="0" w:space="0" w:color="auto"/>
      </w:divBdr>
    </w:div>
    <w:div w:id="126515890">
      <w:bodyDiv w:val="1"/>
      <w:marLeft w:val="0"/>
      <w:marRight w:val="0"/>
      <w:marTop w:val="0"/>
      <w:marBottom w:val="0"/>
      <w:divBdr>
        <w:top w:val="none" w:sz="0" w:space="0" w:color="auto"/>
        <w:left w:val="none" w:sz="0" w:space="0" w:color="auto"/>
        <w:bottom w:val="none" w:sz="0" w:space="0" w:color="auto"/>
        <w:right w:val="none" w:sz="0" w:space="0" w:color="auto"/>
      </w:divBdr>
    </w:div>
    <w:div w:id="146635522">
      <w:bodyDiv w:val="1"/>
      <w:marLeft w:val="0"/>
      <w:marRight w:val="0"/>
      <w:marTop w:val="0"/>
      <w:marBottom w:val="0"/>
      <w:divBdr>
        <w:top w:val="none" w:sz="0" w:space="0" w:color="auto"/>
        <w:left w:val="none" w:sz="0" w:space="0" w:color="auto"/>
        <w:bottom w:val="none" w:sz="0" w:space="0" w:color="auto"/>
        <w:right w:val="none" w:sz="0" w:space="0" w:color="auto"/>
      </w:divBdr>
    </w:div>
    <w:div w:id="153839443">
      <w:bodyDiv w:val="1"/>
      <w:marLeft w:val="0"/>
      <w:marRight w:val="0"/>
      <w:marTop w:val="0"/>
      <w:marBottom w:val="0"/>
      <w:divBdr>
        <w:top w:val="none" w:sz="0" w:space="0" w:color="auto"/>
        <w:left w:val="none" w:sz="0" w:space="0" w:color="auto"/>
        <w:bottom w:val="none" w:sz="0" w:space="0" w:color="auto"/>
        <w:right w:val="none" w:sz="0" w:space="0" w:color="auto"/>
      </w:divBdr>
      <w:divsChild>
        <w:div w:id="1293747464">
          <w:marLeft w:val="0"/>
          <w:marRight w:val="0"/>
          <w:marTop w:val="0"/>
          <w:marBottom w:val="0"/>
          <w:divBdr>
            <w:top w:val="none" w:sz="0" w:space="0" w:color="auto"/>
            <w:left w:val="none" w:sz="0" w:space="0" w:color="auto"/>
            <w:bottom w:val="none" w:sz="0" w:space="0" w:color="auto"/>
            <w:right w:val="none" w:sz="0" w:space="0" w:color="auto"/>
          </w:divBdr>
          <w:divsChild>
            <w:div w:id="1589384876">
              <w:marLeft w:val="0"/>
              <w:marRight w:val="0"/>
              <w:marTop w:val="0"/>
              <w:marBottom w:val="0"/>
              <w:divBdr>
                <w:top w:val="none" w:sz="0" w:space="0" w:color="auto"/>
                <w:left w:val="none" w:sz="0" w:space="0" w:color="auto"/>
                <w:bottom w:val="none" w:sz="0" w:space="0" w:color="auto"/>
                <w:right w:val="none" w:sz="0" w:space="0" w:color="auto"/>
              </w:divBdr>
              <w:divsChild>
                <w:div w:id="35350711">
                  <w:marLeft w:val="0"/>
                  <w:marRight w:val="0"/>
                  <w:marTop w:val="0"/>
                  <w:marBottom w:val="0"/>
                  <w:divBdr>
                    <w:top w:val="none" w:sz="0" w:space="0" w:color="auto"/>
                    <w:left w:val="none" w:sz="0" w:space="0" w:color="auto"/>
                    <w:bottom w:val="none" w:sz="0" w:space="0" w:color="auto"/>
                    <w:right w:val="none" w:sz="0" w:space="0" w:color="auto"/>
                  </w:divBdr>
                  <w:divsChild>
                    <w:div w:id="2129733128">
                      <w:marLeft w:val="0"/>
                      <w:marRight w:val="0"/>
                      <w:marTop w:val="0"/>
                      <w:marBottom w:val="0"/>
                      <w:divBdr>
                        <w:top w:val="none" w:sz="0" w:space="0" w:color="auto"/>
                        <w:left w:val="none" w:sz="0" w:space="0" w:color="auto"/>
                        <w:bottom w:val="none" w:sz="0" w:space="0" w:color="auto"/>
                        <w:right w:val="none" w:sz="0" w:space="0" w:color="auto"/>
                      </w:divBdr>
                      <w:divsChild>
                        <w:div w:id="1953583436">
                          <w:marLeft w:val="0"/>
                          <w:marRight w:val="0"/>
                          <w:marTop w:val="0"/>
                          <w:marBottom w:val="0"/>
                          <w:divBdr>
                            <w:top w:val="none" w:sz="0" w:space="0" w:color="auto"/>
                            <w:left w:val="none" w:sz="0" w:space="0" w:color="auto"/>
                            <w:bottom w:val="none" w:sz="0" w:space="0" w:color="auto"/>
                            <w:right w:val="none" w:sz="0" w:space="0" w:color="auto"/>
                          </w:divBdr>
                          <w:divsChild>
                            <w:div w:id="5439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747026">
      <w:bodyDiv w:val="1"/>
      <w:marLeft w:val="0"/>
      <w:marRight w:val="0"/>
      <w:marTop w:val="0"/>
      <w:marBottom w:val="0"/>
      <w:divBdr>
        <w:top w:val="none" w:sz="0" w:space="0" w:color="auto"/>
        <w:left w:val="none" w:sz="0" w:space="0" w:color="auto"/>
        <w:bottom w:val="none" w:sz="0" w:space="0" w:color="auto"/>
        <w:right w:val="none" w:sz="0" w:space="0" w:color="auto"/>
      </w:divBdr>
    </w:div>
    <w:div w:id="234583687">
      <w:bodyDiv w:val="1"/>
      <w:marLeft w:val="0"/>
      <w:marRight w:val="0"/>
      <w:marTop w:val="0"/>
      <w:marBottom w:val="0"/>
      <w:divBdr>
        <w:top w:val="none" w:sz="0" w:space="0" w:color="auto"/>
        <w:left w:val="none" w:sz="0" w:space="0" w:color="auto"/>
        <w:bottom w:val="none" w:sz="0" w:space="0" w:color="auto"/>
        <w:right w:val="none" w:sz="0" w:space="0" w:color="auto"/>
      </w:divBdr>
    </w:div>
    <w:div w:id="251401174">
      <w:bodyDiv w:val="1"/>
      <w:marLeft w:val="0"/>
      <w:marRight w:val="0"/>
      <w:marTop w:val="0"/>
      <w:marBottom w:val="0"/>
      <w:divBdr>
        <w:top w:val="none" w:sz="0" w:space="0" w:color="auto"/>
        <w:left w:val="none" w:sz="0" w:space="0" w:color="auto"/>
        <w:bottom w:val="none" w:sz="0" w:space="0" w:color="auto"/>
        <w:right w:val="none" w:sz="0" w:space="0" w:color="auto"/>
      </w:divBdr>
    </w:div>
    <w:div w:id="268247663">
      <w:bodyDiv w:val="1"/>
      <w:marLeft w:val="0"/>
      <w:marRight w:val="0"/>
      <w:marTop w:val="0"/>
      <w:marBottom w:val="0"/>
      <w:divBdr>
        <w:top w:val="none" w:sz="0" w:space="0" w:color="auto"/>
        <w:left w:val="none" w:sz="0" w:space="0" w:color="auto"/>
        <w:bottom w:val="none" w:sz="0" w:space="0" w:color="auto"/>
        <w:right w:val="none" w:sz="0" w:space="0" w:color="auto"/>
      </w:divBdr>
    </w:div>
    <w:div w:id="318847452">
      <w:bodyDiv w:val="1"/>
      <w:marLeft w:val="0"/>
      <w:marRight w:val="0"/>
      <w:marTop w:val="0"/>
      <w:marBottom w:val="0"/>
      <w:divBdr>
        <w:top w:val="none" w:sz="0" w:space="0" w:color="auto"/>
        <w:left w:val="none" w:sz="0" w:space="0" w:color="auto"/>
        <w:bottom w:val="none" w:sz="0" w:space="0" w:color="auto"/>
        <w:right w:val="none" w:sz="0" w:space="0" w:color="auto"/>
      </w:divBdr>
    </w:div>
    <w:div w:id="348138501">
      <w:bodyDiv w:val="1"/>
      <w:marLeft w:val="0"/>
      <w:marRight w:val="0"/>
      <w:marTop w:val="0"/>
      <w:marBottom w:val="0"/>
      <w:divBdr>
        <w:top w:val="none" w:sz="0" w:space="0" w:color="auto"/>
        <w:left w:val="none" w:sz="0" w:space="0" w:color="auto"/>
        <w:bottom w:val="none" w:sz="0" w:space="0" w:color="auto"/>
        <w:right w:val="none" w:sz="0" w:space="0" w:color="auto"/>
      </w:divBdr>
    </w:div>
    <w:div w:id="579219668">
      <w:bodyDiv w:val="1"/>
      <w:marLeft w:val="0"/>
      <w:marRight w:val="0"/>
      <w:marTop w:val="0"/>
      <w:marBottom w:val="0"/>
      <w:divBdr>
        <w:top w:val="none" w:sz="0" w:space="0" w:color="auto"/>
        <w:left w:val="none" w:sz="0" w:space="0" w:color="auto"/>
        <w:bottom w:val="none" w:sz="0" w:space="0" w:color="auto"/>
        <w:right w:val="none" w:sz="0" w:space="0" w:color="auto"/>
      </w:divBdr>
    </w:div>
    <w:div w:id="613826834">
      <w:bodyDiv w:val="1"/>
      <w:marLeft w:val="0"/>
      <w:marRight w:val="0"/>
      <w:marTop w:val="0"/>
      <w:marBottom w:val="0"/>
      <w:divBdr>
        <w:top w:val="none" w:sz="0" w:space="0" w:color="auto"/>
        <w:left w:val="none" w:sz="0" w:space="0" w:color="auto"/>
        <w:bottom w:val="none" w:sz="0" w:space="0" w:color="auto"/>
        <w:right w:val="none" w:sz="0" w:space="0" w:color="auto"/>
      </w:divBdr>
      <w:divsChild>
        <w:div w:id="995380597">
          <w:marLeft w:val="0"/>
          <w:marRight w:val="0"/>
          <w:marTop w:val="0"/>
          <w:marBottom w:val="0"/>
          <w:divBdr>
            <w:top w:val="none" w:sz="0" w:space="0" w:color="auto"/>
            <w:left w:val="none" w:sz="0" w:space="0" w:color="auto"/>
            <w:bottom w:val="none" w:sz="0" w:space="0" w:color="auto"/>
            <w:right w:val="none" w:sz="0" w:space="0" w:color="auto"/>
          </w:divBdr>
          <w:divsChild>
            <w:div w:id="809060272">
              <w:marLeft w:val="0"/>
              <w:marRight w:val="0"/>
              <w:marTop w:val="0"/>
              <w:marBottom w:val="0"/>
              <w:divBdr>
                <w:top w:val="none" w:sz="0" w:space="0" w:color="auto"/>
                <w:left w:val="none" w:sz="0" w:space="0" w:color="auto"/>
                <w:bottom w:val="none" w:sz="0" w:space="0" w:color="auto"/>
                <w:right w:val="none" w:sz="0" w:space="0" w:color="auto"/>
              </w:divBdr>
              <w:divsChild>
                <w:div w:id="747767639">
                  <w:marLeft w:val="0"/>
                  <w:marRight w:val="0"/>
                  <w:marTop w:val="0"/>
                  <w:marBottom w:val="0"/>
                  <w:divBdr>
                    <w:top w:val="none" w:sz="0" w:space="0" w:color="auto"/>
                    <w:left w:val="none" w:sz="0" w:space="0" w:color="auto"/>
                    <w:bottom w:val="none" w:sz="0" w:space="0" w:color="auto"/>
                    <w:right w:val="none" w:sz="0" w:space="0" w:color="auto"/>
                  </w:divBdr>
                  <w:divsChild>
                    <w:div w:id="947812084">
                      <w:marLeft w:val="0"/>
                      <w:marRight w:val="0"/>
                      <w:marTop w:val="0"/>
                      <w:marBottom w:val="0"/>
                      <w:divBdr>
                        <w:top w:val="none" w:sz="0" w:space="0" w:color="auto"/>
                        <w:left w:val="none" w:sz="0" w:space="0" w:color="auto"/>
                        <w:bottom w:val="none" w:sz="0" w:space="0" w:color="auto"/>
                        <w:right w:val="none" w:sz="0" w:space="0" w:color="auto"/>
                      </w:divBdr>
                      <w:divsChild>
                        <w:div w:id="476849379">
                          <w:marLeft w:val="0"/>
                          <w:marRight w:val="0"/>
                          <w:marTop w:val="0"/>
                          <w:marBottom w:val="0"/>
                          <w:divBdr>
                            <w:top w:val="none" w:sz="0" w:space="0" w:color="auto"/>
                            <w:left w:val="none" w:sz="0" w:space="0" w:color="auto"/>
                            <w:bottom w:val="none" w:sz="0" w:space="0" w:color="auto"/>
                            <w:right w:val="none" w:sz="0" w:space="0" w:color="auto"/>
                          </w:divBdr>
                          <w:divsChild>
                            <w:div w:id="7109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52355">
      <w:bodyDiv w:val="1"/>
      <w:marLeft w:val="0"/>
      <w:marRight w:val="0"/>
      <w:marTop w:val="0"/>
      <w:marBottom w:val="0"/>
      <w:divBdr>
        <w:top w:val="none" w:sz="0" w:space="0" w:color="auto"/>
        <w:left w:val="none" w:sz="0" w:space="0" w:color="auto"/>
        <w:bottom w:val="none" w:sz="0" w:space="0" w:color="auto"/>
        <w:right w:val="none" w:sz="0" w:space="0" w:color="auto"/>
      </w:divBdr>
    </w:div>
    <w:div w:id="768818918">
      <w:bodyDiv w:val="1"/>
      <w:marLeft w:val="0"/>
      <w:marRight w:val="0"/>
      <w:marTop w:val="0"/>
      <w:marBottom w:val="0"/>
      <w:divBdr>
        <w:top w:val="none" w:sz="0" w:space="0" w:color="auto"/>
        <w:left w:val="none" w:sz="0" w:space="0" w:color="auto"/>
        <w:bottom w:val="none" w:sz="0" w:space="0" w:color="auto"/>
        <w:right w:val="none" w:sz="0" w:space="0" w:color="auto"/>
      </w:divBdr>
    </w:div>
    <w:div w:id="795878961">
      <w:bodyDiv w:val="1"/>
      <w:marLeft w:val="0"/>
      <w:marRight w:val="0"/>
      <w:marTop w:val="0"/>
      <w:marBottom w:val="0"/>
      <w:divBdr>
        <w:top w:val="none" w:sz="0" w:space="0" w:color="auto"/>
        <w:left w:val="none" w:sz="0" w:space="0" w:color="auto"/>
        <w:bottom w:val="none" w:sz="0" w:space="0" w:color="auto"/>
        <w:right w:val="none" w:sz="0" w:space="0" w:color="auto"/>
      </w:divBdr>
    </w:div>
    <w:div w:id="803893267">
      <w:bodyDiv w:val="1"/>
      <w:marLeft w:val="0"/>
      <w:marRight w:val="0"/>
      <w:marTop w:val="0"/>
      <w:marBottom w:val="0"/>
      <w:divBdr>
        <w:top w:val="none" w:sz="0" w:space="0" w:color="auto"/>
        <w:left w:val="none" w:sz="0" w:space="0" w:color="auto"/>
        <w:bottom w:val="none" w:sz="0" w:space="0" w:color="auto"/>
        <w:right w:val="none" w:sz="0" w:space="0" w:color="auto"/>
      </w:divBdr>
    </w:div>
    <w:div w:id="807866212">
      <w:bodyDiv w:val="1"/>
      <w:marLeft w:val="0"/>
      <w:marRight w:val="0"/>
      <w:marTop w:val="0"/>
      <w:marBottom w:val="0"/>
      <w:divBdr>
        <w:top w:val="none" w:sz="0" w:space="0" w:color="auto"/>
        <w:left w:val="none" w:sz="0" w:space="0" w:color="auto"/>
        <w:bottom w:val="none" w:sz="0" w:space="0" w:color="auto"/>
        <w:right w:val="none" w:sz="0" w:space="0" w:color="auto"/>
      </w:divBdr>
    </w:div>
    <w:div w:id="839853261">
      <w:bodyDiv w:val="1"/>
      <w:marLeft w:val="0"/>
      <w:marRight w:val="0"/>
      <w:marTop w:val="0"/>
      <w:marBottom w:val="0"/>
      <w:divBdr>
        <w:top w:val="none" w:sz="0" w:space="0" w:color="auto"/>
        <w:left w:val="none" w:sz="0" w:space="0" w:color="auto"/>
        <w:bottom w:val="none" w:sz="0" w:space="0" w:color="auto"/>
        <w:right w:val="none" w:sz="0" w:space="0" w:color="auto"/>
      </w:divBdr>
    </w:div>
    <w:div w:id="839856587">
      <w:bodyDiv w:val="1"/>
      <w:marLeft w:val="0"/>
      <w:marRight w:val="0"/>
      <w:marTop w:val="0"/>
      <w:marBottom w:val="0"/>
      <w:divBdr>
        <w:top w:val="none" w:sz="0" w:space="0" w:color="auto"/>
        <w:left w:val="none" w:sz="0" w:space="0" w:color="auto"/>
        <w:bottom w:val="none" w:sz="0" w:space="0" w:color="auto"/>
        <w:right w:val="none" w:sz="0" w:space="0" w:color="auto"/>
      </w:divBdr>
    </w:div>
    <w:div w:id="852693306">
      <w:bodyDiv w:val="1"/>
      <w:marLeft w:val="0"/>
      <w:marRight w:val="0"/>
      <w:marTop w:val="0"/>
      <w:marBottom w:val="0"/>
      <w:divBdr>
        <w:top w:val="none" w:sz="0" w:space="0" w:color="auto"/>
        <w:left w:val="none" w:sz="0" w:space="0" w:color="auto"/>
        <w:bottom w:val="none" w:sz="0" w:space="0" w:color="auto"/>
        <w:right w:val="none" w:sz="0" w:space="0" w:color="auto"/>
      </w:divBdr>
    </w:div>
    <w:div w:id="866604710">
      <w:bodyDiv w:val="1"/>
      <w:marLeft w:val="0"/>
      <w:marRight w:val="0"/>
      <w:marTop w:val="0"/>
      <w:marBottom w:val="0"/>
      <w:divBdr>
        <w:top w:val="none" w:sz="0" w:space="0" w:color="auto"/>
        <w:left w:val="none" w:sz="0" w:space="0" w:color="auto"/>
        <w:bottom w:val="none" w:sz="0" w:space="0" w:color="auto"/>
        <w:right w:val="none" w:sz="0" w:space="0" w:color="auto"/>
      </w:divBdr>
    </w:div>
    <w:div w:id="1021320900">
      <w:bodyDiv w:val="1"/>
      <w:marLeft w:val="0"/>
      <w:marRight w:val="0"/>
      <w:marTop w:val="0"/>
      <w:marBottom w:val="0"/>
      <w:divBdr>
        <w:top w:val="none" w:sz="0" w:space="0" w:color="auto"/>
        <w:left w:val="none" w:sz="0" w:space="0" w:color="auto"/>
        <w:bottom w:val="none" w:sz="0" w:space="0" w:color="auto"/>
        <w:right w:val="none" w:sz="0" w:space="0" w:color="auto"/>
      </w:divBdr>
    </w:div>
    <w:div w:id="1125854594">
      <w:bodyDiv w:val="1"/>
      <w:marLeft w:val="0"/>
      <w:marRight w:val="0"/>
      <w:marTop w:val="0"/>
      <w:marBottom w:val="0"/>
      <w:divBdr>
        <w:top w:val="none" w:sz="0" w:space="0" w:color="auto"/>
        <w:left w:val="none" w:sz="0" w:space="0" w:color="auto"/>
        <w:bottom w:val="none" w:sz="0" w:space="0" w:color="auto"/>
        <w:right w:val="none" w:sz="0" w:space="0" w:color="auto"/>
      </w:divBdr>
    </w:div>
    <w:div w:id="1219123261">
      <w:bodyDiv w:val="1"/>
      <w:marLeft w:val="0"/>
      <w:marRight w:val="0"/>
      <w:marTop w:val="0"/>
      <w:marBottom w:val="0"/>
      <w:divBdr>
        <w:top w:val="none" w:sz="0" w:space="0" w:color="auto"/>
        <w:left w:val="none" w:sz="0" w:space="0" w:color="auto"/>
        <w:bottom w:val="none" w:sz="0" w:space="0" w:color="auto"/>
        <w:right w:val="none" w:sz="0" w:space="0" w:color="auto"/>
      </w:divBdr>
    </w:div>
    <w:div w:id="1219508950">
      <w:bodyDiv w:val="1"/>
      <w:marLeft w:val="0"/>
      <w:marRight w:val="0"/>
      <w:marTop w:val="0"/>
      <w:marBottom w:val="0"/>
      <w:divBdr>
        <w:top w:val="none" w:sz="0" w:space="0" w:color="auto"/>
        <w:left w:val="none" w:sz="0" w:space="0" w:color="auto"/>
        <w:bottom w:val="none" w:sz="0" w:space="0" w:color="auto"/>
        <w:right w:val="none" w:sz="0" w:space="0" w:color="auto"/>
      </w:divBdr>
    </w:div>
    <w:div w:id="1241133437">
      <w:bodyDiv w:val="1"/>
      <w:marLeft w:val="0"/>
      <w:marRight w:val="0"/>
      <w:marTop w:val="0"/>
      <w:marBottom w:val="0"/>
      <w:divBdr>
        <w:top w:val="none" w:sz="0" w:space="0" w:color="auto"/>
        <w:left w:val="none" w:sz="0" w:space="0" w:color="auto"/>
        <w:bottom w:val="none" w:sz="0" w:space="0" w:color="auto"/>
        <w:right w:val="none" w:sz="0" w:space="0" w:color="auto"/>
      </w:divBdr>
    </w:div>
    <w:div w:id="1287933901">
      <w:bodyDiv w:val="1"/>
      <w:marLeft w:val="0"/>
      <w:marRight w:val="0"/>
      <w:marTop w:val="0"/>
      <w:marBottom w:val="0"/>
      <w:divBdr>
        <w:top w:val="none" w:sz="0" w:space="0" w:color="auto"/>
        <w:left w:val="none" w:sz="0" w:space="0" w:color="auto"/>
        <w:bottom w:val="none" w:sz="0" w:space="0" w:color="auto"/>
        <w:right w:val="none" w:sz="0" w:space="0" w:color="auto"/>
      </w:divBdr>
      <w:divsChild>
        <w:div w:id="601256049">
          <w:marLeft w:val="0"/>
          <w:marRight w:val="0"/>
          <w:marTop w:val="0"/>
          <w:marBottom w:val="0"/>
          <w:divBdr>
            <w:top w:val="none" w:sz="0" w:space="0" w:color="auto"/>
            <w:left w:val="none" w:sz="0" w:space="0" w:color="auto"/>
            <w:bottom w:val="none" w:sz="0" w:space="0" w:color="auto"/>
            <w:right w:val="none" w:sz="0" w:space="0" w:color="auto"/>
          </w:divBdr>
          <w:divsChild>
            <w:div w:id="1773937771">
              <w:marLeft w:val="0"/>
              <w:marRight w:val="0"/>
              <w:marTop w:val="0"/>
              <w:marBottom w:val="0"/>
              <w:divBdr>
                <w:top w:val="none" w:sz="0" w:space="0" w:color="auto"/>
                <w:left w:val="none" w:sz="0" w:space="0" w:color="auto"/>
                <w:bottom w:val="none" w:sz="0" w:space="0" w:color="auto"/>
                <w:right w:val="none" w:sz="0" w:space="0" w:color="auto"/>
              </w:divBdr>
              <w:divsChild>
                <w:div w:id="1145777912">
                  <w:marLeft w:val="0"/>
                  <w:marRight w:val="0"/>
                  <w:marTop w:val="0"/>
                  <w:marBottom w:val="0"/>
                  <w:divBdr>
                    <w:top w:val="none" w:sz="0" w:space="0" w:color="auto"/>
                    <w:left w:val="none" w:sz="0" w:space="0" w:color="auto"/>
                    <w:bottom w:val="none" w:sz="0" w:space="0" w:color="auto"/>
                    <w:right w:val="none" w:sz="0" w:space="0" w:color="auto"/>
                  </w:divBdr>
                  <w:divsChild>
                    <w:div w:id="171998342">
                      <w:marLeft w:val="0"/>
                      <w:marRight w:val="0"/>
                      <w:marTop w:val="0"/>
                      <w:marBottom w:val="0"/>
                      <w:divBdr>
                        <w:top w:val="none" w:sz="0" w:space="0" w:color="auto"/>
                        <w:left w:val="none" w:sz="0" w:space="0" w:color="auto"/>
                        <w:bottom w:val="none" w:sz="0" w:space="0" w:color="auto"/>
                        <w:right w:val="none" w:sz="0" w:space="0" w:color="auto"/>
                      </w:divBdr>
                      <w:divsChild>
                        <w:div w:id="91896686">
                          <w:marLeft w:val="0"/>
                          <w:marRight w:val="0"/>
                          <w:marTop w:val="0"/>
                          <w:marBottom w:val="0"/>
                          <w:divBdr>
                            <w:top w:val="none" w:sz="0" w:space="0" w:color="auto"/>
                            <w:left w:val="none" w:sz="0" w:space="0" w:color="auto"/>
                            <w:bottom w:val="none" w:sz="0" w:space="0" w:color="auto"/>
                            <w:right w:val="none" w:sz="0" w:space="0" w:color="auto"/>
                          </w:divBdr>
                          <w:divsChild>
                            <w:div w:id="3159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23318">
      <w:bodyDiv w:val="1"/>
      <w:marLeft w:val="0"/>
      <w:marRight w:val="0"/>
      <w:marTop w:val="0"/>
      <w:marBottom w:val="0"/>
      <w:divBdr>
        <w:top w:val="none" w:sz="0" w:space="0" w:color="auto"/>
        <w:left w:val="none" w:sz="0" w:space="0" w:color="auto"/>
        <w:bottom w:val="none" w:sz="0" w:space="0" w:color="auto"/>
        <w:right w:val="none" w:sz="0" w:space="0" w:color="auto"/>
      </w:divBdr>
    </w:div>
    <w:div w:id="1405489263">
      <w:bodyDiv w:val="1"/>
      <w:marLeft w:val="0"/>
      <w:marRight w:val="0"/>
      <w:marTop w:val="0"/>
      <w:marBottom w:val="0"/>
      <w:divBdr>
        <w:top w:val="none" w:sz="0" w:space="0" w:color="auto"/>
        <w:left w:val="none" w:sz="0" w:space="0" w:color="auto"/>
        <w:bottom w:val="none" w:sz="0" w:space="0" w:color="auto"/>
        <w:right w:val="none" w:sz="0" w:space="0" w:color="auto"/>
      </w:divBdr>
    </w:div>
    <w:div w:id="1406685230">
      <w:bodyDiv w:val="1"/>
      <w:marLeft w:val="0"/>
      <w:marRight w:val="0"/>
      <w:marTop w:val="0"/>
      <w:marBottom w:val="0"/>
      <w:divBdr>
        <w:top w:val="none" w:sz="0" w:space="0" w:color="auto"/>
        <w:left w:val="none" w:sz="0" w:space="0" w:color="auto"/>
        <w:bottom w:val="none" w:sz="0" w:space="0" w:color="auto"/>
        <w:right w:val="none" w:sz="0" w:space="0" w:color="auto"/>
      </w:divBdr>
    </w:div>
    <w:div w:id="1406995061">
      <w:bodyDiv w:val="1"/>
      <w:marLeft w:val="0"/>
      <w:marRight w:val="0"/>
      <w:marTop w:val="0"/>
      <w:marBottom w:val="0"/>
      <w:divBdr>
        <w:top w:val="none" w:sz="0" w:space="0" w:color="auto"/>
        <w:left w:val="none" w:sz="0" w:space="0" w:color="auto"/>
        <w:bottom w:val="none" w:sz="0" w:space="0" w:color="auto"/>
        <w:right w:val="none" w:sz="0" w:space="0" w:color="auto"/>
      </w:divBdr>
    </w:div>
    <w:div w:id="1518890822">
      <w:bodyDiv w:val="1"/>
      <w:marLeft w:val="0"/>
      <w:marRight w:val="0"/>
      <w:marTop w:val="0"/>
      <w:marBottom w:val="0"/>
      <w:divBdr>
        <w:top w:val="none" w:sz="0" w:space="0" w:color="auto"/>
        <w:left w:val="none" w:sz="0" w:space="0" w:color="auto"/>
        <w:bottom w:val="none" w:sz="0" w:space="0" w:color="auto"/>
        <w:right w:val="none" w:sz="0" w:space="0" w:color="auto"/>
      </w:divBdr>
    </w:div>
    <w:div w:id="1551191050">
      <w:bodyDiv w:val="1"/>
      <w:marLeft w:val="0"/>
      <w:marRight w:val="0"/>
      <w:marTop w:val="0"/>
      <w:marBottom w:val="0"/>
      <w:divBdr>
        <w:top w:val="none" w:sz="0" w:space="0" w:color="auto"/>
        <w:left w:val="none" w:sz="0" w:space="0" w:color="auto"/>
        <w:bottom w:val="none" w:sz="0" w:space="0" w:color="auto"/>
        <w:right w:val="none" w:sz="0" w:space="0" w:color="auto"/>
      </w:divBdr>
      <w:divsChild>
        <w:div w:id="2084597917">
          <w:marLeft w:val="0"/>
          <w:marRight w:val="0"/>
          <w:marTop w:val="0"/>
          <w:marBottom w:val="0"/>
          <w:divBdr>
            <w:top w:val="none" w:sz="0" w:space="0" w:color="auto"/>
            <w:left w:val="none" w:sz="0" w:space="0" w:color="auto"/>
            <w:bottom w:val="none" w:sz="0" w:space="0" w:color="auto"/>
            <w:right w:val="none" w:sz="0" w:space="0" w:color="auto"/>
          </w:divBdr>
          <w:divsChild>
            <w:div w:id="651953019">
              <w:marLeft w:val="0"/>
              <w:marRight w:val="0"/>
              <w:marTop w:val="0"/>
              <w:marBottom w:val="0"/>
              <w:divBdr>
                <w:top w:val="none" w:sz="0" w:space="0" w:color="auto"/>
                <w:left w:val="none" w:sz="0" w:space="0" w:color="auto"/>
                <w:bottom w:val="none" w:sz="0" w:space="0" w:color="auto"/>
                <w:right w:val="none" w:sz="0" w:space="0" w:color="auto"/>
              </w:divBdr>
              <w:divsChild>
                <w:div w:id="492572277">
                  <w:marLeft w:val="0"/>
                  <w:marRight w:val="0"/>
                  <w:marTop w:val="0"/>
                  <w:marBottom w:val="0"/>
                  <w:divBdr>
                    <w:top w:val="none" w:sz="0" w:space="0" w:color="auto"/>
                    <w:left w:val="none" w:sz="0" w:space="0" w:color="auto"/>
                    <w:bottom w:val="none" w:sz="0" w:space="0" w:color="auto"/>
                    <w:right w:val="none" w:sz="0" w:space="0" w:color="auto"/>
                  </w:divBdr>
                  <w:divsChild>
                    <w:div w:id="1721006750">
                      <w:marLeft w:val="0"/>
                      <w:marRight w:val="0"/>
                      <w:marTop w:val="0"/>
                      <w:marBottom w:val="0"/>
                      <w:divBdr>
                        <w:top w:val="none" w:sz="0" w:space="0" w:color="auto"/>
                        <w:left w:val="none" w:sz="0" w:space="0" w:color="auto"/>
                        <w:bottom w:val="none" w:sz="0" w:space="0" w:color="auto"/>
                        <w:right w:val="none" w:sz="0" w:space="0" w:color="auto"/>
                      </w:divBdr>
                      <w:divsChild>
                        <w:div w:id="1524827839">
                          <w:marLeft w:val="0"/>
                          <w:marRight w:val="0"/>
                          <w:marTop w:val="0"/>
                          <w:marBottom w:val="0"/>
                          <w:divBdr>
                            <w:top w:val="none" w:sz="0" w:space="0" w:color="auto"/>
                            <w:left w:val="none" w:sz="0" w:space="0" w:color="auto"/>
                            <w:bottom w:val="none" w:sz="0" w:space="0" w:color="auto"/>
                            <w:right w:val="none" w:sz="0" w:space="0" w:color="auto"/>
                          </w:divBdr>
                          <w:divsChild>
                            <w:div w:id="3192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360218">
      <w:bodyDiv w:val="1"/>
      <w:marLeft w:val="0"/>
      <w:marRight w:val="0"/>
      <w:marTop w:val="0"/>
      <w:marBottom w:val="0"/>
      <w:divBdr>
        <w:top w:val="none" w:sz="0" w:space="0" w:color="auto"/>
        <w:left w:val="none" w:sz="0" w:space="0" w:color="auto"/>
        <w:bottom w:val="none" w:sz="0" w:space="0" w:color="auto"/>
        <w:right w:val="none" w:sz="0" w:space="0" w:color="auto"/>
      </w:divBdr>
    </w:div>
    <w:div w:id="1615600245">
      <w:bodyDiv w:val="1"/>
      <w:marLeft w:val="0"/>
      <w:marRight w:val="0"/>
      <w:marTop w:val="0"/>
      <w:marBottom w:val="0"/>
      <w:divBdr>
        <w:top w:val="none" w:sz="0" w:space="0" w:color="auto"/>
        <w:left w:val="none" w:sz="0" w:space="0" w:color="auto"/>
        <w:bottom w:val="none" w:sz="0" w:space="0" w:color="auto"/>
        <w:right w:val="none" w:sz="0" w:space="0" w:color="auto"/>
      </w:divBdr>
    </w:div>
    <w:div w:id="1635528236">
      <w:bodyDiv w:val="1"/>
      <w:marLeft w:val="0"/>
      <w:marRight w:val="0"/>
      <w:marTop w:val="0"/>
      <w:marBottom w:val="0"/>
      <w:divBdr>
        <w:top w:val="none" w:sz="0" w:space="0" w:color="auto"/>
        <w:left w:val="none" w:sz="0" w:space="0" w:color="auto"/>
        <w:bottom w:val="none" w:sz="0" w:space="0" w:color="auto"/>
        <w:right w:val="none" w:sz="0" w:space="0" w:color="auto"/>
      </w:divBdr>
    </w:div>
    <w:div w:id="1646736835">
      <w:bodyDiv w:val="1"/>
      <w:marLeft w:val="0"/>
      <w:marRight w:val="0"/>
      <w:marTop w:val="0"/>
      <w:marBottom w:val="0"/>
      <w:divBdr>
        <w:top w:val="none" w:sz="0" w:space="0" w:color="auto"/>
        <w:left w:val="none" w:sz="0" w:space="0" w:color="auto"/>
        <w:bottom w:val="none" w:sz="0" w:space="0" w:color="auto"/>
        <w:right w:val="none" w:sz="0" w:space="0" w:color="auto"/>
      </w:divBdr>
    </w:div>
    <w:div w:id="1665015048">
      <w:bodyDiv w:val="1"/>
      <w:marLeft w:val="0"/>
      <w:marRight w:val="0"/>
      <w:marTop w:val="0"/>
      <w:marBottom w:val="0"/>
      <w:divBdr>
        <w:top w:val="none" w:sz="0" w:space="0" w:color="auto"/>
        <w:left w:val="none" w:sz="0" w:space="0" w:color="auto"/>
        <w:bottom w:val="none" w:sz="0" w:space="0" w:color="auto"/>
        <w:right w:val="none" w:sz="0" w:space="0" w:color="auto"/>
      </w:divBdr>
    </w:div>
    <w:div w:id="1708678872">
      <w:bodyDiv w:val="1"/>
      <w:marLeft w:val="0"/>
      <w:marRight w:val="0"/>
      <w:marTop w:val="0"/>
      <w:marBottom w:val="0"/>
      <w:divBdr>
        <w:top w:val="none" w:sz="0" w:space="0" w:color="auto"/>
        <w:left w:val="none" w:sz="0" w:space="0" w:color="auto"/>
        <w:bottom w:val="none" w:sz="0" w:space="0" w:color="auto"/>
        <w:right w:val="none" w:sz="0" w:space="0" w:color="auto"/>
      </w:divBdr>
    </w:div>
    <w:div w:id="1777558003">
      <w:bodyDiv w:val="1"/>
      <w:marLeft w:val="0"/>
      <w:marRight w:val="0"/>
      <w:marTop w:val="0"/>
      <w:marBottom w:val="0"/>
      <w:divBdr>
        <w:top w:val="none" w:sz="0" w:space="0" w:color="auto"/>
        <w:left w:val="none" w:sz="0" w:space="0" w:color="auto"/>
        <w:bottom w:val="none" w:sz="0" w:space="0" w:color="auto"/>
        <w:right w:val="none" w:sz="0" w:space="0" w:color="auto"/>
      </w:divBdr>
    </w:div>
    <w:div w:id="1821463923">
      <w:bodyDiv w:val="1"/>
      <w:marLeft w:val="0"/>
      <w:marRight w:val="0"/>
      <w:marTop w:val="0"/>
      <w:marBottom w:val="0"/>
      <w:divBdr>
        <w:top w:val="none" w:sz="0" w:space="0" w:color="auto"/>
        <w:left w:val="none" w:sz="0" w:space="0" w:color="auto"/>
        <w:bottom w:val="none" w:sz="0" w:space="0" w:color="auto"/>
        <w:right w:val="none" w:sz="0" w:space="0" w:color="auto"/>
      </w:divBdr>
    </w:div>
    <w:div w:id="1822500933">
      <w:bodyDiv w:val="1"/>
      <w:marLeft w:val="0"/>
      <w:marRight w:val="0"/>
      <w:marTop w:val="0"/>
      <w:marBottom w:val="0"/>
      <w:divBdr>
        <w:top w:val="none" w:sz="0" w:space="0" w:color="auto"/>
        <w:left w:val="none" w:sz="0" w:space="0" w:color="auto"/>
        <w:bottom w:val="none" w:sz="0" w:space="0" w:color="auto"/>
        <w:right w:val="none" w:sz="0" w:space="0" w:color="auto"/>
      </w:divBdr>
    </w:div>
    <w:div w:id="1864829276">
      <w:bodyDiv w:val="1"/>
      <w:marLeft w:val="0"/>
      <w:marRight w:val="0"/>
      <w:marTop w:val="0"/>
      <w:marBottom w:val="0"/>
      <w:divBdr>
        <w:top w:val="none" w:sz="0" w:space="0" w:color="auto"/>
        <w:left w:val="none" w:sz="0" w:space="0" w:color="auto"/>
        <w:bottom w:val="none" w:sz="0" w:space="0" w:color="auto"/>
        <w:right w:val="none" w:sz="0" w:space="0" w:color="auto"/>
      </w:divBdr>
    </w:div>
    <w:div w:id="1943223988">
      <w:bodyDiv w:val="1"/>
      <w:marLeft w:val="0"/>
      <w:marRight w:val="0"/>
      <w:marTop w:val="0"/>
      <w:marBottom w:val="0"/>
      <w:divBdr>
        <w:top w:val="none" w:sz="0" w:space="0" w:color="auto"/>
        <w:left w:val="none" w:sz="0" w:space="0" w:color="auto"/>
        <w:bottom w:val="none" w:sz="0" w:space="0" w:color="auto"/>
        <w:right w:val="none" w:sz="0" w:space="0" w:color="auto"/>
      </w:divBdr>
    </w:div>
    <w:div w:id="1998145246">
      <w:bodyDiv w:val="1"/>
      <w:marLeft w:val="0"/>
      <w:marRight w:val="0"/>
      <w:marTop w:val="0"/>
      <w:marBottom w:val="0"/>
      <w:divBdr>
        <w:top w:val="none" w:sz="0" w:space="0" w:color="auto"/>
        <w:left w:val="none" w:sz="0" w:space="0" w:color="auto"/>
        <w:bottom w:val="none" w:sz="0" w:space="0" w:color="auto"/>
        <w:right w:val="none" w:sz="0" w:space="0" w:color="auto"/>
      </w:divBdr>
    </w:div>
    <w:div w:id="2003579194">
      <w:bodyDiv w:val="1"/>
      <w:marLeft w:val="0"/>
      <w:marRight w:val="0"/>
      <w:marTop w:val="0"/>
      <w:marBottom w:val="0"/>
      <w:divBdr>
        <w:top w:val="none" w:sz="0" w:space="0" w:color="auto"/>
        <w:left w:val="none" w:sz="0" w:space="0" w:color="auto"/>
        <w:bottom w:val="none" w:sz="0" w:space="0" w:color="auto"/>
        <w:right w:val="none" w:sz="0" w:space="0" w:color="auto"/>
      </w:divBdr>
    </w:div>
    <w:div w:id="2045982210">
      <w:bodyDiv w:val="1"/>
      <w:marLeft w:val="0"/>
      <w:marRight w:val="0"/>
      <w:marTop w:val="0"/>
      <w:marBottom w:val="0"/>
      <w:divBdr>
        <w:top w:val="none" w:sz="0" w:space="0" w:color="auto"/>
        <w:left w:val="none" w:sz="0" w:space="0" w:color="auto"/>
        <w:bottom w:val="none" w:sz="0" w:space="0" w:color="auto"/>
        <w:right w:val="none" w:sz="0" w:space="0" w:color="auto"/>
      </w:divBdr>
    </w:div>
    <w:div w:id="2101443034">
      <w:bodyDiv w:val="1"/>
      <w:marLeft w:val="0"/>
      <w:marRight w:val="0"/>
      <w:marTop w:val="0"/>
      <w:marBottom w:val="0"/>
      <w:divBdr>
        <w:top w:val="none" w:sz="0" w:space="0" w:color="auto"/>
        <w:left w:val="none" w:sz="0" w:space="0" w:color="auto"/>
        <w:bottom w:val="none" w:sz="0" w:space="0" w:color="auto"/>
        <w:right w:val="none" w:sz="0" w:space="0" w:color="auto"/>
      </w:divBdr>
    </w:div>
    <w:div w:id="21305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796b4c-0d14-4f76-8357-7493fa55c789">
      <Terms xmlns="http://schemas.microsoft.com/office/infopath/2007/PartnerControls"/>
    </lcf76f155ced4ddcb4097134ff3c332f>
    <TaxCatchAll xmlns="65d77559-d5e7-42e6-999e-e835b672e1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FB5235CC6F36B41AB008DE227C4E9BB" ma:contentTypeVersion="12" ma:contentTypeDescription="Crie um novo documento." ma:contentTypeScope="" ma:versionID="1732e12515817f7e4e861c3cbeadc68d">
  <xsd:schema xmlns:xsd="http://www.w3.org/2001/XMLSchema" xmlns:xs="http://www.w3.org/2001/XMLSchema" xmlns:p="http://schemas.microsoft.com/office/2006/metadata/properties" xmlns:ns2="db796b4c-0d14-4f76-8357-7493fa55c789" xmlns:ns3="65d77559-d5e7-42e6-999e-e835b672e111" targetNamespace="http://schemas.microsoft.com/office/2006/metadata/properties" ma:root="true" ma:fieldsID="ed2d621ca8e0709e5fd5d46f043c36e8" ns2:_="" ns3:_="">
    <xsd:import namespace="db796b4c-0d14-4f76-8357-7493fa55c789"/>
    <xsd:import namespace="65d77559-d5e7-42e6-999e-e835b672e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96b4c-0d14-4f76-8357-7493fa55c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18d130e2-d8de-4285-9cce-e23c6c017b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d77559-d5e7-42e6-999e-e835b672e1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1e3304-80cb-4939-a795-65ae154c0d8c}" ma:internalName="TaxCatchAll" ma:showField="CatchAllData" ma:web="65d77559-d5e7-42e6-999e-e835b672e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DDC3B-05DC-4358-B7F4-BE8179861850}">
  <ds:schemaRefs>
    <ds:schemaRef ds:uri="http://schemas.microsoft.com/office/2006/metadata/properties"/>
    <ds:schemaRef ds:uri="http://schemas.microsoft.com/office/infopath/2007/PartnerControls"/>
    <ds:schemaRef ds:uri="db796b4c-0d14-4f76-8357-7493fa55c789"/>
    <ds:schemaRef ds:uri="65d77559-d5e7-42e6-999e-e835b672e111"/>
  </ds:schemaRefs>
</ds:datastoreItem>
</file>

<file path=customXml/itemProps2.xml><?xml version="1.0" encoding="utf-8"?>
<ds:datastoreItem xmlns:ds="http://schemas.openxmlformats.org/officeDocument/2006/customXml" ds:itemID="{7790F2BB-0FAF-40EF-A22B-94AAB77D65E6}"/>
</file>

<file path=customXml/itemProps3.xml><?xml version="1.0" encoding="utf-8"?>
<ds:datastoreItem xmlns:ds="http://schemas.openxmlformats.org/officeDocument/2006/customXml" ds:itemID="{DEB11EE0-D94F-4E59-97E9-237E32197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12</Pages>
  <Words>5627</Words>
  <Characters>30386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Polyanne Aparecida Alves Moita Vieira</dc:creator>
  <cp:keywords/>
  <dc:description/>
  <cp:lastModifiedBy>Natalia dos Anjos Marques</cp:lastModifiedBy>
  <cp:revision>21</cp:revision>
  <dcterms:created xsi:type="dcterms:W3CDTF">2026-04-07T15:32:00Z</dcterms:created>
  <dcterms:modified xsi:type="dcterms:W3CDTF">2026-04-29T21:56:00Z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2025-10-16T18:37:46Z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4e10ab7b-c5b8-45a5-8b77-4e08baca5992</vt:lpwstr>
  </property>
  <property fmtid="{D5CDD505-2E9C-101B-9397-08002B2CF9AE}" pid="7" name="MSIP_Label_defa4170-0d19-0005-0000-bc88714345d2_ActionId">
    <vt:lpwstr>3adf4799-bc29-4532-a2e5-1b369913b3aa</vt:lpwstr>
  </property>
  <property fmtid="{D5CDD505-2E9C-101B-9397-08002B2CF9AE}" pid="8" name="MSIP_Label_defa4170-0d19-0005-0000-bc88714345d2_ContentBits">
    <vt:lpwstr>0</vt:lpwstr>
  </property>
  <property fmtid="{D5CDD505-2E9C-101B-9397-08002B2CF9AE}" pid="9" name="MSIP_Label_defa4170-0d19-0005-0000-bc88714345d2_Tag">
    <vt:lpwstr>10, 0, 1, 1</vt:lpwstr>
  </property>
  <property fmtid="{D5CDD505-2E9C-101B-9397-08002B2CF9AE}" pid="10" name="ContentTypeId">
    <vt:lpwstr>0x0101005FB5235CC6F36B41AB008DE227C4E9BB</vt:lpwstr>
  </property>
  <property fmtid="{D5CDD505-2E9C-101B-9397-08002B2CF9AE}" pid="11" name="MediaServiceImageTags">
    <vt:lpwstr/>
  </property>
</Properties>
</file>